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1E10" w:rsidRDefault="00107CBA" w:rsidP="00CD183E">
      <w:pPr>
        <w:rPr>
          <w:lang w:val="en-US"/>
        </w:rPr>
        <w:sectPr w:rsidR="004C1E10" w:rsidSect="001F5363">
          <w:headerReference w:type="default" r:id="rId8"/>
          <w:pgSz w:w="11906" w:h="16838"/>
          <w:pgMar w:top="1417" w:right="1417" w:bottom="1417" w:left="1417" w:header="1" w:footer="708" w:gutter="0"/>
          <w:cols w:space="708"/>
          <w:docGrid w:linePitch="360"/>
        </w:sectPr>
      </w:pPr>
      <w:r>
        <w:rPr>
          <w:noProof/>
        </w:rPr>
        <w:pict>
          <v:shapetype id="_x0000_t202" coordsize="21600,21600" o:spt="202" path="m,l,21600r21600,l21600,xe">
            <v:stroke joinstyle="miter"/>
            <v:path gradientshapeok="t" o:connecttype="rect"/>
          </v:shapetype>
          <v:shape id="_x0000_s1030" type="#_x0000_t202" style="position:absolute;left:0;text-align:left;margin-left:-.85pt;margin-top:-112.1pt;width:486.85pt;height:54pt;z-index:251658240" filled="f" stroked="f">
            <v:textbox style="mso-next-textbox:#_x0000_s1030">
              <w:txbxContent>
                <w:p w:rsidR="00921F42" w:rsidRPr="0090229B" w:rsidRDefault="00921F42" w:rsidP="00207927"/>
                <w:p w:rsidR="00921F42" w:rsidRPr="0090229B" w:rsidRDefault="00921F42" w:rsidP="008449E8"/>
              </w:txbxContent>
            </v:textbox>
          </v:shape>
        </w:pict>
      </w:r>
      <w:r>
        <w:rPr>
          <w:noProof/>
        </w:rPr>
        <w:pict>
          <v:shape id="_x0000_s1029" type="#_x0000_t202" style="position:absolute;left:0;text-align:left;margin-left:242.5pt;margin-top:-401.8pt;width:252pt;height:252pt;z-index:251657216" filled="f" stroked="f">
            <v:textbox style="mso-next-textbox:#_x0000_s1029">
              <w:txbxContent>
                <w:p w:rsidR="00921F42" w:rsidRPr="001024FD" w:rsidRDefault="00921F42" w:rsidP="00CD183E">
                  <w:pPr>
                    <w:rPr>
                      <w:b/>
                    </w:rPr>
                  </w:pPr>
                  <w:r w:rsidRPr="001024FD">
                    <w:rPr>
                      <w:b/>
                    </w:rPr>
                    <w:t>Odpovědný řešitel:</w:t>
                  </w:r>
                </w:p>
                <w:p w:rsidR="00921F42" w:rsidRPr="001024FD" w:rsidRDefault="00921F42" w:rsidP="00CD183E">
                  <w:pPr>
                    <w:rPr>
                      <w:b/>
                    </w:rPr>
                  </w:pPr>
                  <w:r>
                    <w:rPr>
                      <w:b/>
                    </w:rPr>
                    <w:t xml:space="preserve">Doc. </w:t>
                  </w:r>
                  <w:r w:rsidRPr="001024FD">
                    <w:rPr>
                      <w:b/>
                    </w:rPr>
                    <w:t>Ing. Pavel Hrubeš, Ph.D.</w:t>
                  </w:r>
                </w:p>
                <w:p w:rsidR="00921F42" w:rsidRPr="001024FD" w:rsidRDefault="00921F42" w:rsidP="00CD183E">
                  <w:pPr>
                    <w:rPr>
                      <w:b/>
                    </w:rPr>
                  </w:pPr>
                </w:p>
                <w:p w:rsidR="00921F42" w:rsidRPr="001024FD" w:rsidRDefault="00921F42" w:rsidP="00CD183E">
                  <w:pPr>
                    <w:rPr>
                      <w:b/>
                    </w:rPr>
                  </w:pPr>
                </w:p>
                <w:p w:rsidR="00921F42" w:rsidRPr="001024FD" w:rsidRDefault="00921F42" w:rsidP="00CD183E">
                  <w:pPr>
                    <w:rPr>
                      <w:b/>
                    </w:rPr>
                  </w:pPr>
                  <w:r w:rsidRPr="001024FD">
                    <w:rPr>
                      <w:b/>
                    </w:rPr>
                    <w:t>Řešitelský tým:</w:t>
                  </w:r>
                </w:p>
                <w:p w:rsidR="00921F42" w:rsidRPr="008317A1" w:rsidRDefault="00921F42" w:rsidP="008317A1">
                  <w:pPr>
                    <w:rPr>
                      <w:b/>
                    </w:rPr>
                  </w:pPr>
                  <w:r w:rsidRPr="008317A1">
                    <w:rPr>
                      <w:b/>
                    </w:rPr>
                    <w:t>Petr Hnyk</w:t>
                  </w:r>
                </w:p>
                <w:p w:rsidR="00921F42" w:rsidRPr="00357D3B" w:rsidRDefault="00921F42" w:rsidP="008317A1">
                  <w:pPr>
                    <w:rPr>
                      <w:b/>
                    </w:rPr>
                  </w:pPr>
                  <w:r w:rsidRPr="008317A1">
                    <w:rPr>
                      <w:b/>
                    </w:rPr>
                    <w:t>Krzysztof Urbaniec</w:t>
                  </w:r>
                </w:p>
                <w:p w:rsidR="00921F42" w:rsidRPr="001024FD" w:rsidRDefault="00921F42" w:rsidP="00CD183E">
                  <w:pPr>
                    <w:rPr>
                      <w:b/>
                    </w:rPr>
                  </w:pPr>
                  <w:r>
                    <w:rPr>
                      <w:b/>
                    </w:rPr>
                    <w:t>Hana Najzarová</w:t>
                  </w:r>
                </w:p>
                <w:p w:rsidR="00921F42" w:rsidRPr="001024FD" w:rsidRDefault="00921F42" w:rsidP="00CD183E">
                  <w:pPr>
                    <w:rPr>
                      <w:b/>
                    </w:rPr>
                  </w:pPr>
                </w:p>
                <w:p w:rsidR="00921F42" w:rsidRPr="001024FD" w:rsidRDefault="00921F42" w:rsidP="00CD183E">
                  <w:pPr>
                    <w:rPr>
                      <w:b/>
                    </w:rPr>
                  </w:pPr>
                </w:p>
                <w:p w:rsidR="00921F42" w:rsidRPr="001024FD" w:rsidRDefault="00921F42" w:rsidP="00CD183E">
                  <w:pPr>
                    <w:rPr>
                      <w:b/>
                    </w:rPr>
                  </w:pPr>
                </w:p>
                <w:p w:rsidR="00921F42" w:rsidRPr="001024FD" w:rsidRDefault="00921F42" w:rsidP="00CD183E">
                  <w:pPr>
                    <w:rPr>
                      <w:b/>
                    </w:rPr>
                  </w:pPr>
                  <w:r>
                    <w:rPr>
                      <w:b/>
                    </w:rPr>
                    <w:t>30</w:t>
                  </w:r>
                  <w:r w:rsidRPr="001024FD">
                    <w:rPr>
                      <w:b/>
                    </w:rPr>
                    <w:t xml:space="preserve">. </w:t>
                  </w:r>
                  <w:r>
                    <w:rPr>
                      <w:b/>
                    </w:rPr>
                    <w:t>3</w:t>
                  </w:r>
                  <w:r w:rsidRPr="001024FD">
                    <w:rPr>
                      <w:b/>
                    </w:rPr>
                    <w:t>. 20</w:t>
                  </w:r>
                  <w:r>
                    <w:rPr>
                      <w:b/>
                    </w:rPr>
                    <w:t>12</w:t>
                  </w:r>
                  <w:r w:rsidRPr="001024FD">
                    <w:rPr>
                      <w:b/>
                    </w:rPr>
                    <w:t xml:space="preserve"> </w:t>
                  </w:r>
                </w:p>
                <w:p w:rsidR="00921F42" w:rsidRPr="001024FD" w:rsidRDefault="00921F42" w:rsidP="00CD183E">
                  <w:pPr>
                    <w:rPr>
                      <w:b/>
                    </w:rPr>
                  </w:pPr>
                </w:p>
              </w:txbxContent>
            </v:textbox>
          </v:shape>
        </w:pict>
      </w:r>
      <w:r>
        <w:rPr>
          <w:noProof/>
        </w:rPr>
        <w:pict>
          <v:shape id="_x0000_s1028" type="#_x0000_t202" style="position:absolute;left:0;text-align:left;margin-left:-27pt;margin-top:-670.1pt;width:495pt;height:180pt;z-index:251656192" filled="f" stroked="f">
            <v:textbox style="mso-next-textbox:#_x0000_s1028">
              <w:txbxContent>
                <w:p w:rsidR="00921F42" w:rsidRDefault="00921F42" w:rsidP="00CD183E">
                  <w:pPr>
                    <w:rPr>
                      <w:lang w:val="en-US"/>
                    </w:rPr>
                  </w:pPr>
                </w:p>
                <w:p w:rsidR="00921F42" w:rsidRDefault="00921F42" w:rsidP="008317A1">
                  <w:pPr>
                    <w:jc w:val="center"/>
                    <w:rPr>
                      <w:b/>
                      <w:sz w:val="36"/>
                      <w:szCs w:val="36"/>
                    </w:rPr>
                  </w:pPr>
                  <w:r w:rsidRPr="001024FD">
                    <w:rPr>
                      <w:b/>
                      <w:sz w:val="44"/>
                    </w:rPr>
                    <w:t xml:space="preserve">Studie </w:t>
                  </w:r>
                  <w:r w:rsidRPr="008317A1">
                    <w:rPr>
                      <w:b/>
                      <w:sz w:val="44"/>
                    </w:rPr>
                    <w:t>(analýza) existujících systémů pro monitorování a řízení přepravy nebezpečných věcí v zemích EU</w:t>
                  </w:r>
                </w:p>
                <w:p w:rsidR="00921F42" w:rsidRDefault="00921F42" w:rsidP="006F7AA4">
                  <w:pPr>
                    <w:jc w:val="center"/>
                    <w:rPr>
                      <w:b/>
                      <w:sz w:val="36"/>
                      <w:szCs w:val="36"/>
                    </w:rPr>
                  </w:pPr>
                </w:p>
                <w:p w:rsidR="00921F42" w:rsidRDefault="00921F42" w:rsidP="006F7AA4">
                  <w:pPr>
                    <w:jc w:val="center"/>
                    <w:rPr>
                      <w:b/>
                      <w:sz w:val="36"/>
                      <w:szCs w:val="36"/>
                    </w:rPr>
                  </w:pPr>
                  <w:r>
                    <w:rPr>
                      <w:b/>
                      <w:sz w:val="36"/>
                      <w:szCs w:val="36"/>
                    </w:rPr>
                    <w:t>Výzkumná zpráva 12/2</w:t>
                  </w:r>
                </w:p>
                <w:p w:rsidR="00921F42" w:rsidRPr="00D00D0C" w:rsidRDefault="00921F42" w:rsidP="006F7AA4">
                  <w:pPr>
                    <w:jc w:val="center"/>
                    <w:rPr>
                      <w:b/>
                      <w:sz w:val="36"/>
                      <w:szCs w:val="36"/>
                    </w:rPr>
                  </w:pPr>
                </w:p>
                <w:p w:rsidR="00921F42" w:rsidRPr="001024FD" w:rsidRDefault="00921F42" w:rsidP="00B17854">
                  <w:pPr>
                    <w:tabs>
                      <w:tab w:val="left" w:pos="-1985"/>
                    </w:tabs>
                    <w:ind w:left="2268" w:hanging="1842"/>
                    <w:jc w:val="center"/>
                    <w:rPr>
                      <w:b/>
                      <w:sz w:val="36"/>
                    </w:rPr>
                  </w:pPr>
                  <w:r>
                    <w:rPr>
                      <w:b/>
                      <w:sz w:val="36"/>
                    </w:rPr>
                    <w:t>Verze 1.0</w:t>
                  </w:r>
                </w:p>
              </w:txbxContent>
            </v:textbox>
          </v:shape>
        </w:pict>
      </w:r>
      <w:r w:rsidR="007B64B5">
        <w:rPr>
          <w:lang w:val="en-US"/>
        </w:rPr>
        <w:t>x</w:t>
      </w:r>
    </w:p>
    <w:p w:rsidR="00440D44" w:rsidRDefault="00440D44" w:rsidP="00CD183E">
      <w:pPr>
        <w:rPr>
          <w:lang w:val="en-US"/>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tblPr>
      <w:tblGrid>
        <w:gridCol w:w="1951"/>
        <w:gridCol w:w="7229"/>
      </w:tblGrid>
      <w:tr w:rsidR="00440D44" w:rsidRPr="00440D44" w:rsidTr="00FA4708">
        <w:tc>
          <w:tcPr>
            <w:tcW w:w="1951" w:type="dxa"/>
            <w:shd w:val="clear" w:color="auto" w:fill="auto"/>
          </w:tcPr>
          <w:p w:rsidR="00440D44" w:rsidRPr="00FA4708" w:rsidRDefault="00440D44" w:rsidP="00FA4708">
            <w:pPr>
              <w:ind w:firstLine="0"/>
              <w:rPr>
                <w:caps/>
              </w:rPr>
            </w:pPr>
            <w:r w:rsidRPr="00FA4708">
              <w:rPr>
                <w:caps/>
              </w:rPr>
              <w:t>Verze 1.0</w:t>
            </w:r>
          </w:p>
        </w:tc>
        <w:tc>
          <w:tcPr>
            <w:tcW w:w="7229" w:type="dxa"/>
            <w:shd w:val="clear" w:color="auto" w:fill="auto"/>
          </w:tcPr>
          <w:p w:rsidR="00440D44" w:rsidRPr="00FA4708" w:rsidRDefault="00440D44" w:rsidP="00C946A8">
            <w:pPr>
              <w:rPr>
                <w:caps/>
              </w:rPr>
            </w:pPr>
            <w:r w:rsidRPr="00287837">
              <w:t>Úvodní text ke kapitolám</w:t>
            </w:r>
            <w:r w:rsidR="008810A8">
              <w:t>.</w:t>
            </w:r>
            <w:r w:rsidRPr="00287837">
              <w:t xml:space="preserve"> </w:t>
            </w:r>
            <w:r w:rsidRPr="00FA4708">
              <w:rPr>
                <w:caps/>
              </w:rPr>
              <w:t xml:space="preserve"> </w:t>
            </w:r>
          </w:p>
        </w:tc>
      </w:tr>
      <w:tr w:rsidR="00C946A8" w:rsidRPr="00440D44" w:rsidTr="00FA4708">
        <w:tc>
          <w:tcPr>
            <w:tcW w:w="1951" w:type="dxa"/>
            <w:shd w:val="clear" w:color="auto" w:fill="auto"/>
          </w:tcPr>
          <w:p w:rsidR="00C946A8" w:rsidRPr="00440D44" w:rsidRDefault="00C946A8" w:rsidP="00C946A8">
            <w:pPr>
              <w:ind w:firstLine="0"/>
            </w:pPr>
            <w:r w:rsidRPr="00FA4708">
              <w:rPr>
                <w:caps/>
              </w:rPr>
              <w:t>Verze 1.</w:t>
            </w:r>
            <w:r>
              <w:rPr>
                <w:caps/>
              </w:rPr>
              <w:t>1</w:t>
            </w:r>
          </w:p>
        </w:tc>
        <w:tc>
          <w:tcPr>
            <w:tcW w:w="7229" w:type="dxa"/>
            <w:shd w:val="clear" w:color="auto" w:fill="auto"/>
          </w:tcPr>
          <w:p w:rsidR="00C946A8" w:rsidRPr="00FA4708" w:rsidRDefault="00C946A8" w:rsidP="00B91D94">
            <w:pPr>
              <w:rPr>
                <w:caps/>
              </w:rPr>
            </w:pPr>
            <w:r w:rsidRPr="00FA4708">
              <w:rPr>
                <w:caps/>
              </w:rPr>
              <w:t xml:space="preserve"> </w:t>
            </w:r>
          </w:p>
        </w:tc>
      </w:tr>
      <w:tr w:rsidR="00440D44" w:rsidRPr="00440D44" w:rsidTr="00FA4708">
        <w:tc>
          <w:tcPr>
            <w:tcW w:w="1951" w:type="dxa"/>
            <w:shd w:val="clear" w:color="auto" w:fill="auto"/>
          </w:tcPr>
          <w:p w:rsidR="00440D44" w:rsidRPr="00440D44" w:rsidRDefault="00440D44" w:rsidP="00FA4708">
            <w:pPr>
              <w:ind w:firstLine="0"/>
            </w:pPr>
          </w:p>
        </w:tc>
        <w:tc>
          <w:tcPr>
            <w:tcW w:w="7229" w:type="dxa"/>
            <w:shd w:val="clear" w:color="auto" w:fill="auto"/>
          </w:tcPr>
          <w:p w:rsidR="00440D44" w:rsidRPr="00440D44" w:rsidRDefault="00440D44" w:rsidP="00FA4708">
            <w:pPr>
              <w:ind w:firstLine="0"/>
            </w:pPr>
          </w:p>
        </w:tc>
      </w:tr>
      <w:tr w:rsidR="00440D44" w:rsidRPr="00440D44" w:rsidTr="00FA4708">
        <w:tc>
          <w:tcPr>
            <w:tcW w:w="1951" w:type="dxa"/>
            <w:shd w:val="clear" w:color="auto" w:fill="auto"/>
          </w:tcPr>
          <w:p w:rsidR="00440D44" w:rsidRPr="00440D44" w:rsidRDefault="00440D44" w:rsidP="00FA4708">
            <w:pPr>
              <w:ind w:firstLine="0"/>
            </w:pPr>
          </w:p>
        </w:tc>
        <w:tc>
          <w:tcPr>
            <w:tcW w:w="7229" w:type="dxa"/>
            <w:shd w:val="clear" w:color="auto" w:fill="auto"/>
          </w:tcPr>
          <w:p w:rsidR="00440D44" w:rsidRPr="00440D44" w:rsidRDefault="00440D44" w:rsidP="00FA4708">
            <w:pPr>
              <w:ind w:firstLine="0"/>
            </w:pPr>
          </w:p>
        </w:tc>
      </w:tr>
      <w:tr w:rsidR="00440D44" w:rsidRPr="00440D44" w:rsidTr="00FA4708">
        <w:tc>
          <w:tcPr>
            <w:tcW w:w="1951" w:type="dxa"/>
            <w:shd w:val="clear" w:color="auto" w:fill="auto"/>
          </w:tcPr>
          <w:p w:rsidR="00440D44" w:rsidRPr="00440D44" w:rsidRDefault="00440D44" w:rsidP="00FA4708">
            <w:pPr>
              <w:ind w:firstLine="0"/>
            </w:pPr>
          </w:p>
        </w:tc>
        <w:tc>
          <w:tcPr>
            <w:tcW w:w="7229" w:type="dxa"/>
            <w:shd w:val="clear" w:color="auto" w:fill="auto"/>
          </w:tcPr>
          <w:p w:rsidR="00440D44" w:rsidRPr="00440D44" w:rsidRDefault="00440D44" w:rsidP="00FA4708">
            <w:pPr>
              <w:ind w:firstLine="0"/>
            </w:pPr>
          </w:p>
        </w:tc>
      </w:tr>
    </w:tbl>
    <w:p w:rsidR="00440D44" w:rsidRPr="008810A8" w:rsidRDefault="00440D44" w:rsidP="00CD183E"/>
    <w:p w:rsidR="00440D44" w:rsidRPr="008810A8" w:rsidRDefault="00440D44" w:rsidP="00CD183E"/>
    <w:p w:rsidR="00FF14D4" w:rsidRPr="008810A8" w:rsidRDefault="00440D44" w:rsidP="00CD183E">
      <w:r w:rsidRPr="008810A8">
        <w:br w:type="page"/>
      </w:r>
    </w:p>
    <w:p w:rsidR="006F7AA4" w:rsidRPr="00585A25" w:rsidRDefault="006F7AA4" w:rsidP="006F7AA4">
      <w:pPr>
        <w:rPr>
          <w:i/>
          <w:sz w:val="32"/>
          <w:szCs w:val="32"/>
        </w:rPr>
      </w:pPr>
      <w:r w:rsidRPr="00585A25">
        <w:rPr>
          <w:i/>
          <w:sz w:val="32"/>
          <w:szCs w:val="32"/>
        </w:rPr>
        <w:lastRenderedPageBreak/>
        <w:t>Zadání:</w:t>
      </w:r>
    </w:p>
    <w:p w:rsidR="006F7AA4" w:rsidRDefault="00970EBF" w:rsidP="00C80837">
      <w:pPr>
        <w:ind w:left="1134" w:firstLine="0"/>
        <w:rPr>
          <w:i/>
        </w:rPr>
      </w:pPr>
      <w:r>
        <w:rPr>
          <w:i/>
        </w:rPr>
        <w:t xml:space="preserve">Zpracování studie </w:t>
      </w:r>
      <w:r w:rsidR="008317A1" w:rsidRPr="008317A1">
        <w:rPr>
          <w:i/>
        </w:rPr>
        <w:t>existujících systémů pro monitorování a řízení přepravy nebezpečných věcí v zemích EU</w:t>
      </w:r>
      <w:r>
        <w:rPr>
          <w:i/>
        </w:rPr>
        <w:t>.</w:t>
      </w:r>
    </w:p>
    <w:p w:rsidR="00EF18A8" w:rsidRDefault="00EF18A8" w:rsidP="00C80837">
      <w:pPr>
        <w:ind w:left="1134" w:firstLine="0"/>
        <w:rPr>
          <w:i/>
        </w:rPr>
      </w:pPr>
    </w:p>
    <w:p w:rsidR="00A06091" w:rsidRDefault="00A06091" w:rsidP="00C80837">
      <w:pPr>
        <w:ind w:left="1134" w:firstLine="0"/>
        <w:rPr>
          <w:i/>
        </w:rPr>
      </w:pPr>
      <w:r>
        <w:rPr>
          <w:i/>
        </w:rPr>
        <w:t>Zadavatel:</w:t>
      </w:r>
    </w:p>
    <w:p w:rsidR="008317A1" w:rsidRPr="008317A1" w:rsidRDefault="008317A1" w:rsidP="008317A1">
      <w:pPr>
        <w:ind w:left="1134" w:firstLine="0"/>
        <w:rPr>
          <w:i/>
        </w:rPr>
      </w:pPr>
      <w:r w:rsidRPr="008317A1">
        <w:rPr>
          <w:i/>
        </w:rPr>
        <w:t>Telematix s.r.o.</w:t>
      </w:r>
    </w:p>
    <w:p w:rsidR="00A06091" w:rsidRDefault="008317A1" w:rsidP="008317A1">
      <w:pPr>
        <w:ind w:left="1134" w:firstLine="0"/>
        <w:rPr>
          <w:i/>
        </w:rPr>
      </w:pPr>
      <w:r w:rsidRPr="008317A1">
        <w:rPr>
          <w:i/>
        </w:rPr>
        <w:t>Praha 4, Branická 66/69,  PSČ 1470 00</w:t>
      </w:r>
    </w:p>
    <w:p w:rsidR="00EF18A8" w:rsidRDefault="00EF18A8" w:rsidP="00A06091">
      <w:pPr>
        <w:ind w:left="1134" w:firstLine="0"/>
        <w:rPr>
          <w:i/>
        </w:rPr>
      </w:pPr>
    </w:p>
    <w:p w:rsidR="00EF18A8" w:rsidRDefault="00EF18A8" w:rsidP="00A06091">
      <w:pPr>
        <w:ind w:left="1134" w:firstLine="0"/>
        <w:rPr>
          <w:i/>
        </w:rPr>
      </w:pPr>
    </w:p>
    <w:p w:rsidR="006F7AA4" w:rsidRDefault="00C80837" w:rsidP="006F7AA4">
      <w:r>
        <w:br w:type="page"/>
      </w:r>
    </w:p>
    <w:p w:rsidR="00262DB9" w:rsidRPr="00585A25" w:rsidRDefault="00262DB9" w:rsidP="00262DB9">
      <w:pPr>
        <w:rPr>
          <w:i/>
          <w:sz w:val="32"/>
          <w:szCs w:val="32"/>
        </w:rPr>
      </w:pPr>
      <w:r>
        <w:rPr>
          <w:i/>
          <w:sz w:val="32"/>
          <w:szCs w:val="32"/>
        </w:rPr>
        <w:lastRenderedPageBreak/>
        <w:t>Shrnutí</w:t>
      </w:r>
      <w:r w:rsidR="003949D8">
        <w:rPr>
          <w:i/>
          <w:sz w:val="32"/>
          <w:szCs w:val="32"/>
        </w:rPr>
        <w:t xml:space="preserve"> </w:t>
      </w:r>
      <w:r w:rsidR="00B1598A">
        <w:rPr>
          <w:i/>
          <w:sz w:val="32"/>
          <w:szCs w:val="32"/>
        </w:rPr>
        <w:t xml:space="preserve">dokumentu </w:t>
      </w:r>
      <w:r w:rsidR="003949D8">
        <w:rPr>
          <w:i/>
          <w:sz w:val="32"/>
          <w:szCs w:val="32"/>
        </w:rPr>
        <w:t>studie</w:t>
      </w:r>
      <w:r w:rsidRPr="00585A25">
        <w:rPr>
          <w:i/>
          <w:sz w:val="32"/>
          <w:szCs w:val="32"/>
        </w:rPr>
        <w:t>:</w:t>
      </w:r>
    </w:p>
    <w:p w:rsidR="004E3E38" w:rsidRPr="00585A25" w:rsidRDefault="008317A1" w:rsidP="00262DB9">
      <w:pPr>
        <w:ind w:left="1134" w:firstLine="0"/>
        <w:rPr>
          <w:i/>
        </w:rPr>
      </w:pPr>
      <w:r w:rsidRPr="008317A1">
        <w:rPr>
          <w:i/>
        </w:rPr>
        <w:t xml:space="preserve">V rámci studie </w:t>
      </w:r>
      <w:r>
        <w:rPr>
          <w:i/>
        </w:rPr>
        <w:t xml:space="preserve">je </w:t>
      </w:r>
      <w:r w:rsidRPr="008317A1">
        <w:rPr>
          <w:i/>
        </w:rPr>
        <w:t xml:space="preserve">zpracován detailní popis již existujících systémů monitorování a řízení přepravy nebezpečných věcí v zemích EU. Zvláštní důraz </w:t>
      </w:r>
      <w:r>
        <w:rPr>
          <w:i/>
        </w:rPr>
        <w:t xml:space="preserve">je </w:t>
      </w:r>
      <w:r w:rsidRPr="008317A1">
        <w:rPr>
          <w:i/>
        </w:rPr>
        <w:t xml:space="preserve"> kladen zejména na státy sousedící s ČR, tedy Rakousko, Německo, Polsko a Slovensko. Analýza </w:t>
      </w:r>
      <w:r>
        <w:rPr>
          <w:i/>
        </w:rPr>
        <w:t xml:space="preserve">je </w:t>
      </w:r>
      <w:r w:rsidRPr="008317A1">
        <w:rPr>
          <w:i/>
        </w:rPr>
        <w:t>zaměřena nejen na využívání GNSS technologií souvisejících s přepravami vysoce rizikových věcí, ale i související formálně-procedurální postupy. Studie bude mj. zaměřena na zajištění interoperability českého systému monitorování přepravy nebezpečných nákladů s obdobnými navrhovanými nebo provozovanými systémy tak, aby byla zajištěna interoperabilita v rámci Evropského prostoru. Studie pokrýv</w:t>
      </w:r>
      <w:r>
        <w:rPr>
          <w:i/>
        </w:rPr>
        <w:t>á</w:t>
      </w:r>
      <w:r w:rsidRPr="008317A1">
        <w:rPr>
          <w:i/>
        </w:rPr>
        <w:t xml:space="preserve"> klíčové dopravní módy, tedy dopravu silniční, železniční a vnitrozemskou vodní.</w:t>
      </w:r>
    </w:p>
    <w:p w:rsidR="00262DB9" w:rsidRDefault="00262DB9" w:rsidP="00262DB9">
      <w:r>
        <w:br w:type="page"/>
      </w:r>
    </w:p>
    <w:p w:rsidR="00625FD7" w:rsidRPr="00585A25" w:rsidRDefault="00625FD7" w:rsidP="00625FD7">
      <w:pPr>
        <w:rPr>
          <w:i/>
          <w:sz w:val="32"/>
          <w:szCs w:val="32"/>
        </w:rPr>
      </w:pPr>
      <w:r>
        <w:rPr>
          <w:i/>
          <w:sz w:val="32"/>
          <w:szCs w:val="32"/>
        </w:rPr>
        <w:lastRenderedPageBreak/>
        <w:t>Obsah</w:t>
      </w:r>
      <w:r w:rsidRPr="00585A25">
        <w:rPr>
          <w:i/>
          <w:sz w:val="32"/>
          <w:szCs w:val="32"/>
        </w:rPr>
        <w:t>:</w:t>
      </w:r>
    </w:p>
    <w:p w:rsidR="007B5374" w:rsidRDefault="00107CBA">
      <w:pPr>
        <w:pStyle w:val="Obsah1"/>
        <w:rPr>
          <w:rFonts w:asciiTheme="minorHAnsi" w:eastAsiaTheme="minorEastAsia" w:hAnsiTheme="minorHAnsi" w:cstheme="minorBidi"/>
          <w:b w:val="0"/>
          <w:bCs w:val="0"/>
          <w:i w:val="0"/>
          <w:iCs w:val="0"/>
          <w:noProof/>
          <w:sz w:val="22"/>
          <w:szCs w:val="22"/>
        </w:rPr>
      </w:pPr>
      <w:r w:rsidRPr="00107CBA">
        <w:fldChar w:fldCharType="begin"/>
      </w:r>
      <w:r w:rsidR="00625FD7">
        <w:instrText xml:space="preserve"> TOC \o "1-</w:instrText>
      </w:r>
      <w:r w:rsidR="008B147F">
        <w:instrText>4</w:instrText>
      </w:r>
      <w:r w:rsidR="00625FD7">
        <w:instrText xml:space="preserve">" \h \z \u </w:instrText>
      </w:r>
      <w:r w:rsidRPr="00107CBA">
        <w:fldChar w:fldCharType="separate"/>
      </w:r>
      <w:hyperlink w:anchor="_Toc326741482" w:history="1">
        <w:r w:rsidR="007B5374" w:rsidRPr="00425354">
          <w:rPr>
            <w:rStyle w:val="Hypertextovodkaz"/>
            <w:rFonts w:eastAsiaTheme="majorEastAsia" w:cstheme="majorBidi"/>
            <w:noProof/>
          </w:rPr>
          <w:t>1</w:t>
        </w:r>
        <w:r w:rsidR="007B5374">
          <w:rPr>
            <w:rFonts w:asciiTheme="minorHAnsi" w:eastAsiaTheme="minorEastAsia" w:hAnsiTheme="minorHAnsi" w:cstheme="minorBidi"/>
            <w:b w:val="0"/>
            <w:bCs w:val="0"/>
            <w:i w:val="0"/>
            <w:iCs w:val="0"/>
            <w:noProof/>
            <w:sz w:val="22"/>
            <w:szCs w:val="22"/>
          </w:rPr>
          <w:tab/>
        </w:r>
        <w:r w:rsidR="007B5374" w:rsidRPr="00425354">
          <w:rPr>
            <w:rStyle w:val="Hypertextovodkaz"/>
            <w:rFonts w:eastAsiaTheme="majorEastAsia" w:cstheme="majorBidi"/>
            <w:noProof/>
          </w:rPr>
          <w:t>Úvod do problematiky přepravy monitorování a řízení přepravy nebezpečných věcí v zemích EU</w:t>
        </w:r>
        <w:r w:rsidR="007B5374">
          <w:rPr>
            <w:noProof/>
            <w:webHidden/>
          </w:rPr>
          <w:tab/>
        </w:r>
        <w:r w:rsidR="007B5374">
          <w:rPr>
            <w:noProof/>
            <w:webHidden/>
          </w:rPr>
          <w:fldChar w:fldCharType="begin"/>
        </w:r>
        <w:r w:rsidR="007B5374">
          <w:rPr>
            <w:noProof/>
            <w:webHidden/>
          </w:rPr>
          <w:instrText xml:space="preserve"> PAGEREF _Toc326741482 \h </w:instrText>
        </w:r>
        <w:r w:rsidR="007B5374">
          <w:rPr>
            <w:noProof/>
            <w:webHidden/>
          </w:rPr>
        </w:r>
        <w:r w:rsidR="007B5374">
          <w:rPr>
            <w:noProof/>
            <w:webHidden/>
          </w:rPr>
          <w:fldChar w:fldCharType="separate"/>
        </w:r>
        <w:r w:rsidR="007B5374">
          <w:rPr>
            <w:noProof/>
            <w:webHidden/>
          </w:rPr>
          <w:t>2</w:t>
        </w:r>
        <w:r w:rsidR="007B5374">
          <w:rPr>
            <w:noProof/>
            <w:webHidden/>
          </w:rPr>
          <w:fldChar w:fldCharType="end"/>
        </w:r>
      </w:hyperlink>
    </w:p>
    <w:p w:rsidR="007B5374" w:rsidRDefault="007B5374">
      <w:pPr>
        <w:pStyle w:val="Obsah1"/>
        <w:rPr>
          <w:rFonts w:asciiTheme="minorHAnsi" w:eastAsiaTheme="minorEastAsia" w:hAnsiTheme="minorHAnsi" w:cstheme="minorBidi"/>
          <w:b w:val="0"/>
          <w:bCs w:val="0"/>
          <w:i w:val="0"/>
          <w:iCs w:val="0"/>
          <w:noProof/>
          <w:sz w:val="22"/>
          <w:szCs w:val="22"/>
        </w:rPr>
      </w:pPr>
      <w:hyperlink w:anchor="_Toc326741483" w:history="1">
        <w:r w:rsidRPr="00425354">
          <w:rPr>
            <w:rStyle w:val="Hypertextovodkaz"/>
            <w:rFonts w:eastAsiaTheme="majorEastAsia" w:cstheme="majorBidi"/>
            <w:noProof/>
          </w:rPr>
          <w:t>2</w:t>
        </w:r>
        <w:r>
          <w:rPr>
            <w:rFonts w:asciiTheme="minorHAnsi" w:eastAsiaTheme="minorEastAsia" w:hAnsiTheme="minorHAnsi" w:cstheme="minorBidi"/>
            <w:b w:val="0"/>
            <w:bCs w:val="0"/>
            <w:i w:val="0"/>
            <w:iCs w:val="0"/>
            <w:noProof/>
            <w:sz w:val="22"/>
            <w:szCs w:val="22"/>
          </w:rPr>
          <w:tab/>
        </w:r>
        <w:r w:rsidRPr="00425354">
          <w:rPr>
            <w:rStyle w:val="Hypertextovodkaz"/>
            <w:rFonts w:eastAsiaTheme="majorEastAsia" w:cstheme="majorBidi"/>
            <w:noProof/>
          </w:rPr>
          <w:t>Analýza a popis systému dle jednotlivých států</w:t>
        </w:r>
        <w:r>
          <w:rPr>
            <w:noProof/>
            <w:webHidden/>
          </w:rPr>
          <w:tab/>
        </w:r>
        <w:r>
          <w:rPr>
            <w:noProof/>
            <w:webHidden/>
          </w:rPr>
          <w:fldChar w:fldCharType="begin"/>
        </w:r>
        <w:r>
          <w:rPr>
            <w:noProof/>
            <w:webHidden/>
          </w:rPr>
          <w:instrText xml:space="preserve"> PAGEREF _Toc326741483 \h </w:instrText>
        </w:r>
        <w:r>
          <w:rPr>
            <w:noProof/>
            <w:webHidden/>
          </w:rPr>
        </w:r>
        <w:r>
          <w:rPr>
            <w:noProof/>
            <w:webHidden/>
          </w:rPr>
          <w:fldChar w:fldCharType="separate"/>
        </w:r>
        <w:r>
          <w:rPr>
            <w:noProof/>
            <w:webHidden/>
          </w:rPr>
          <w:t>3</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484" w:history="1">
        <w:r w:rsidRPr="00425354">
          <w:rPr>
            <w:rStyle w:val="Hypertextovodkaz"/>
            <w:rFonts w:eastAsiaTheme="majorEastAsia"/>
            <w:noProof/>
          </w:rPr>
          <w:t>2.1</w:t>
        </w:r>
        <w:r>
          <w:rPr>
            <w:rFonts w:asciiTheme="minorHAnsi" w:eastAsiaTheme="minorEastAsia" w:hAnsiTheme="minorHAnsi" w:cstheme="minorBidi"/>
            <w:b w:val="0"/>
            <w:bCs w:val="0"/>
            <w:noProof/>
          </w:rPr>
          <w:tab/>
        </w:r>
        <w:r w:rsidRPr="00425354">
          <w:rPr>
            <w:rStyle w:val="Hypertextovodkaz"/>
            <w:rFonts w:eastAsiaTheme="majorEastAsia"/>
            <w:noProof/>
          </w:rPr>
          <w:t>Spolková republika Německo</w:t>
        </w:r>
        <w:r>
          <w:rPr>
            <w:noProof/>
            <w:webHidden/>
          </w:rPr>
          <w:tab/>
        </w:r>
        <w:r>
          <w:rPr>
            <w:noProof/>
            <w:webHidden/>
          </w:rPr>
          <w:fldChar w:fldCharType="begin"/>
        </w:r>
        <w:r>
          <w:rPr>
            <w:noProof/>
            <w:webHidden/>
          </w:rPr>
          <w:instrText xml:space="preserve"> PAGEREF _Toc326741484 \h </w:instrText>
        </w:r>
        <w:r>
          <w:rPr>
            <w:noProof/>
            <w:webHidden/>
          </w:rPr>
        </w:r>
        <w:r>
          <w:rPr>
            <w:noProof/>
            <w:webHidden/>
          </w:rPr>
          <w:fldChar w:fldCharType="separate"/>
        </w:r>
        <w:r>
          <w:rPr>
            <w:noProof/>
            <w:webHidden/>
          </w:rPr>
          <w:t>3</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85" w:history="1">
        <w:r w:rsidRPr="00425354">
          <w:rPr>
            <w:rStyle w:val="Hypertextovodkaz"/>
            <w:rFonts w:eastAsiaTheme="majorEastAsia"/>
            <w:noProof/>
          </w:rPr>
          <w:t>2.1.1</w:t>
        </w:r>
        <w:r>
          <w:rPr>
            <w:rFonts w:asciiTheme="minorHAnsi" w:eastAsiaTheme="minorEastAsia" w:hAnsiTheme="minorHAnsi" w:cstheme="minorBidi"/>
            <w:noProof/>
            <w:sz w:val="22"/>
            <w:szCs w:val="22"/>
          </w:rPr>
          <w:tab/>
        </w:r>
        <w:r w:rsidRPr="00425354">
          <w:rPr>
            <w:rStyle w:val="Hypertextovodkaz"/>
            <w:rFonts w:eastAsiaTheme="majorEastAsia"/>
            <w:noProof/>
          </w:rPr>
          <w:t>Legislativní rámec</w:t>
        </w:r>
        <w:r>
          <w:rPr>
            <w:noProof/>
            <w:webHidden/>
          </w:rPr>
          <w:tab/>
        </w:r>
        <w:r>
          <w:rPr>
            <w:noProof/>
            <w:webHidden/>
          </w:rPr>
          <w:fldChar w:fldCharType="begin"/>
        </w:r>
        <w:r>
          <w:rPr>
            <w:noProof/>
            <w:webHidden/>
          </w:rPr>
          <w:instrText xml:space="preserve"> PAGEREF _Toc326741485 \h </w:instrText>
        </w:r>
        <w:r>
          <w:rPr>
            <w:noProof/>
            <w:webHidden/>
          </w:rPr>
        </w:r>
        <w:r>
          <w:rPr>
            <w:noProof/>
            <w:webHidden/>
          </w:rPr>
          <w:fldChar w:fldCharType="separate"/>
        </w:r>
        <w:r>
          <w:rPr>
            <w:noProof/>
            <w:webHidden/>
          </w:rPr>
          <w:t>3</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86" w:history="1">
        <w:r w:rsidRPr="00425354">
          <w:rPr>
            <w:rStyle w:val="Hypertextovodkaz"/>
            <w:rFonts w:eastAsiaTheme="majorEastAsia"/>
            <w:noProof/>
          </w:rPr>
          <w:t>2.1.1.1</w:t>
        </w:r>
        <w:r>
          <w:rPr>
            <w:rFonts w:asciiTheme="minorHAnsi" w:eastAsiaTheme="minorEastAsia" w:hAnsiTheme="minorHAnsi" w:cstheme="minorBidi"/>
            <w:noProof/>
            <w:sz w:val="22"/>
            <w:szCs w:val="22"/>
          </w:rPr>
          <w:tab/>
        </w:r>
        <w:r w:rsidRPr="00425354">
          <w:rPr>
            <w:rStyle w:val="Hypertextovodkaz"/>
            <w:rFonts w:eastAsiaTheme="majorEastAsia"/>
            <w:noProof/>
          </w:rPr>
          <w:t>Národní zákony a předpisy</w:t>
        </w:r>
        <w:r>
          <w:rPr>
            <w:noProof/>
            <w:webHidden/>
          </w:rPr>
          <w:tab/>
        </w:r>
        <w:r>
          <w:rPr>
            <w:noProof/>
            <w:webHidden/>
          </w:rPr>
          <w:fldChar w:fldCharType="begin"/>
        </w:r>
        <w:r>
          <w:rPr>
            <w:noProof/>
            <w:webHidden/>
          </w:rPr>
          <w:instrText xml:space="preserve"> PAGEREF _Toc326741486 \h </w:instrText>
        </w:r>
        <w:r>
          <w:rPr>
            <w:noProof/>
            <w:webHidden/>
          </w:rPr>
        </w:r>
        <w:r>
          <w:rPr>
            <w:noProof/>
            <w:webHidden/>
          </w:rPr>
          <w:fldChar w:fldCharType="separate"/>
        </w:r>
        <w:r>
          <w:rPr>
            <w:noProof/>
            <w:webHidden/>
          </w:rPr>
          <w:t>4</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87" w:history="1">
        <w:r w:rsidRPr="00425354">
          <w:rPr>
            <w:rStyle w:val="Hypertextovodkaz"/>
            <w:rFonts w:eastAsiaTheme="majorEastAsia"/>
            <w:noProof/>
          </w:rPr>
          <w:t>2.1.1.2</w:t>
        </w:r>
        <w:r>
          <w:rPr>
            <w:rFonts w:asciiTheme="minorHAnsi" w:eastAsiaTheme="minorEastAsia" w:hAnsiTheme="minorHAnsi" w:cstheme="minorBidi"/>
            <w:noProof/>
            <w:sz w:val="22"/>
            <w:szCs w:val="22"/>
          </w:rPr>
          <w:tab/>
        </w:r>
        <w:r w:rsidRPr="00425354">
          <w:rPr>
            <w:rStyle w:val="Hypertextovodkaz"/>
            <w:rFonts w:eastAsiaTheme="majorEastAsia"/>
            <w:noProof/>
          </w:rPr>
          <w:t>Aplikace ADR</w:t>
        </w:r>
        <w:r>
          <w:rPr>
            <w:noProof/>
            <w:webHidden/>
          </w:rPr>
          <w:tab/>
        </w:r>
        <w:r>
          <w:rPr>
            <w:noProof/>
            <w:webHidden/>
          </w:rPr>
          <w:fldChar w:fldCharType="begin"/>
        </w:r>
        <w:r>
          <w:rPr>
            <w:noProof/>
            <w:webHidden/>
          </w:rPr>
          <w:instrText xml:space="preserve"> PAGEREF _Toc326741487 \h </w:instrText>
        </w:r>
        <w:r>
          <w:rPr>
            <w:noProof/>
            <w:webHidden/>
          </w:rPr>
        </w:r>
        <w:r>
          <w:rPr>
            <w:noProof/>
            <w:webHidden/>
          </w:rPr>
          <w:fldChar w:fldCharType="separate"/>
        </w:r>
        <w:r>
          <w:rPr>
            <w:noProof/>
            <w:webHidden/>
          </w:rPr>
          <w:t>7</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88" w:history="1">
        <w:r w:rsidRPr="00425354">
          <w:rPr>
            <w:rStyle w:val="Hypertextovodkaz"/>
            <w:rFonts w:eastAsiaTheme="majorEastAsia"/>
            <w:noProof/>
          </w:rPr>
          <w:t>2.1.2</w:t>
        </w:r>
        <w:r>
          <w:rPr>
            <w:rFonts w:asciiTheme="minorHAnsi" w:eastAsiaTheme="minorEastAsia" w:hAnsiTheme="minorHAnsi" w:cstheme="minorBidi"/>
            <w:noProof/>
            <w:sz w:val="22"/>
            <w:szCs w:val="22"/>
          </w:rPr>
          <w:tab/>
        </w:r>
        <w:r w:rsidRPr="00425354">
          <w:rPr>
            <w:rStyle w:val="Hypertextovodkaz"/>
            <w:rFonts w:eastAsiaTheme="majorEastAsia"/>
            <w:noProof/>
          </w:rPr>
          <w:t>Ostatní (národní) zákony a normy</w:t>
        </w:r>
        <w:r>
          <w:rPr>
            <w:noProof/>
            <w:webHidden/>
          </w:rPr>
          <w:tab/>
        </w:r>
        <w:r>
          <w:rPr>
            <w:noProof/>
            <w:webHidden/>
          </w:rPr>
          <w:fldChar w:fldCharType="begin"/>
        </w:r>
        <w:r>
          <w:rPr>
            <w:noProof/>
            <w:webHidden/>
          </w:rPr>
          <w:instrText xml:space="preserve"> PAGEREF _Toc326741488 \h </w:instrText>
        </w:r>
        <w:r>
          <w:rPr>
            <w:noProof/>
            <w:webHidden/>
          </w:rPr>
        </w:r>
        <w:r>
          <w:rPr>
            <w:noProof/>
            <w:webHidden/>
          </w:rPr>
          <w:fldChar w:fldCharType="separate"/>
        </w:r>
        <w:r>
          <w:rPr>
            <w:noProof/>
            <w:webHidden/>
          </w:rPr>
          <w:t>7</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89" w:history="1">
        <w:r w:rsidRPr="00425354">
          <w:rPr>
            <w:rStyle w:val="Hypertextovodkaz"/>
            <w:rFonts w:eastAsiaTheme="majorEastAsia"/>
            <w:noProof/>
          </w:rPr>
          <w:t>2.1.3</w:t>
        </w:r>
        <w:r>
          <w:rPr>
            <w:rFonts w:asciiTheme="minorHAnsi" w:eastAsiaTheme="minorEastAsia" w:hAnsiTheme="minorHAnsi" w:cstheme="minorBidi"/>
            <w:noProof/>
            <w:sz w:val="22"/>
            <w:szCs w:val="22"/>
          </w:rPr>
          <w:tab/>
        </w:r>
        <w:r w:rsidRPr="00425354">
          <w:rPr>
            <w:rStyle w:val="Hypertextovodkaz"/>
            <w:rFonts w:eastAsiaTheme="majorEastAsia"/>
            <w:noProof/>
          </w:rPr>
          <w:t>Povinnosti a specifika přepravy</w:t>
        </w:r>
        <w:r>
          <w:rPr>
            <w:noProof/>
            <w:webHidden/>
          </w:rPr>
          <w:tab/>
        </w:r>
        <w:r>
          <w:rPr>
            <w:noProof/>
            <w:webHidden/>
          </w:rPr>
          <w:fldChar w:fldCharType="begin"/>
        </w:r>
        <w:r>
          <w:rPr>
            <w:noProof/>
            <w:webHidden/>
          </w:rPr>
          <w:instrText xml:space="preserve"> PAGEREF _Toc326741489 \h </w:instrText>
        </w:r>
        <w:r>
          <w:rPr>
            <w:noProof/>
            <w:webHidden/>
          </w:rPr>
        </w:r>
        <w:r>
          <w:rPr>
            <w:noProof/>
            <w:webHidden/>
          </w:rPr>
          <w:fldChar w:fldCharType="separate"/>
        </w:r>
        <w:r>
          <w:rPr>
            <w:noProof/>
            <w:webHidden/>
          </w:rPr>
          <w:t>9</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90" w:history="1">
        <w:r w:rsidRPr="00425354">
          <w:rPr>
            <w:rStyle w:val="Hypertextovodkaz"/>
            <w:rFonts w:eastAsiaTheme="majorEastAsia"/>
            <w:noProof/>
          </w:rPr>
          <w:t>2.1.4</w:t>
        </w:r>
        <w:r>
          <w:rPr>
            <w:rFonts w:asciiTheme="minorHAnsi" w:eastAsiaTheme="minorEastAsia" w:hAnsiTheme="minorHAnsi" w:cstheme="minorBidi"/>
            <w:noProof/>
            <w:sz w:val="22"/>
            <w:szCs w:val="22"/>
          </w:rPr>
          <w:tab/>
        </w:r>
        <w:r w:rsidRPr="00425354">
          <w:rPr>
            <w:rStyle w:val="Hypertextovodkaz"/>
            <w:rFonts w:eastAsiaTheme="majorEastAsia"/>
            <w:noProof/>
          </w:rPr>
          <w:t>Přeprava radioaktivního materiálu</w:t>
        </w:r>
        <w:r>
          <w:rPr>
            <w:noProof/>
            <w:webHidden/>
          </w:rPr>
          <w:tab/>
        </w:r>
        <w:r>
          <w:rPr>
            <w:noProof/>
            <w:webHidden/>
          </w:rPr>
          <w:fldChar w:fldCharType="begin"/>
        </w:r>
        <w:r>
          <w:rPr>
            <w:noProof/>
            <w:webHidden/>
          </w:rPr>
          <w:instrText xml:space="preserve"> PAGEREF _Toc326741490 \h </w:instrText>
        </w:r>
        <w:r>
          <w:rPr>
            <w:noProof/>
            <w:webHidden/>
          </w:rPr>
        </w:r>
        <w:r>
          <w:rPr>
            <w:noProof/>
            <w:webHidden/>
          </w:rPr>
          <w:fldChar w:fldCharType="separate"/>
        </w:r>
        <w:r>
          <w:rPr>
            <w:noProof/>
            <w:webHidden/>
          </w:rPr>
          <w:t>9</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91" w:history="1">
        <w:r w:rsidRPr="00425354">
          <w:rPr>
            <w:rStyle w:val="Hypertextovodkaz"/>
            <w:rFonts w:eastAsiaTheme="majorEastAsia"/>
            <w:noProof/>
          </w:rPr>
          <w:t>2.1.5</w:t>
        </w:r>
        <w:r>
          <w:rPr>
            <w:rFonts w:asciiTheme="minorHAnsi" w:eastAsiaTheme="minorEastAsia" w:hAnsiTheme="minorHAnsi" w:cstheme="minorBidi"/>
            <w:noProof/>
            <w:sz w:val="22"/>
            <w:szCs w:val="22"/>
          </w:rPr>
          <w:tab/>
        </w:r>
        <w:r w:rsidRPr="00425354">
          <w:rPr>
            <w:rStyle w:val="Hypertextovodkaz"/>
            <w:rFonts w:eastAsiaTheme="majorEastAsia"/>
            <w:noProof/>
          </w:rPr>
          <w:t>Postupy a aplikace systému</w:t>
        </w:r>
        <w:r>
          <w:rPr>
            <w:noProof/>
            <w:webHidden/>
          </w:rPr>
          <w:tab/>
        </w:r>
        <w:r>
          <w:rPr>
            <w:noProof/>
            <w:webHidden/>
          </w:rPr>
          <w:fldChar w:fldCharType="begin"/>
        </w:r>
        <w:r>
          <w:rPr>
            <w:noProof/>
            <w:webHidden/>
          </w:rPr>
          <w:instrText xml:space="preserve"> PAGEREF _Toc326741491 \h </w:instrText>
        </w:r>
        <w:r>
          <w:rPr>
            <w:noProof/>
            <w:webHidden/>
          </w:rPr>
        </w:r>
        <w:r>
          <w:rPr>
            <w:noProof/>
            <w:webHidden/>
          </w:rPr>
          <w:fldChar w:fldCharType="separate"/>
        </w:r>
        <w:r>
          <w:rPr>
            <w:noProof/>
            <w:webHidden/>
          </w:rPr>
          <w:t>11</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92" w:history="1">
        <w:r w:rsidRPr="00425354">
          <w:rPr>
            <w:rStyle w:val="Hypertextovodkaz"/>
            <w:rFonts w:eastAsiaTheme="majorEastAsia"/>
            <w:noProof/>
          </w:rPr>
          <w:t>2.1.5.1</w:t>
        </w:r>
        <w:r>
          <w:rPr>
            <w:rFonts w:asciiTheme="minorHAnsi" w:eastAsiaTheme="minorEastAsia" w:hAnsiTheme="minorHAnsi" w:cstheme="minorBidi"/>
            <w:noProof/>
            <w:sz w:val="22"/>
            <w:szCs w:val="22"/>
          </w:rPr>
          <w:tab/>
        </w:r>
        <w:r w:rsidRPr="00425354">
          <w:rPr>
            <w:rStyle w:val="Hypertextovodkaz"/>
            <w:rFonts w:eastAsiaTheme="majorEastAsia"/>
            <w:noProof/>
          </w:rPr>
          <w:t>Železniční přeprava</w:t>
        </w:r>
        <w:r>
          <w:rPr>
            <w:noProof/>
            <w:webHidden/>
          </w:rPr>
          <w:tab/>
        </w:r>
        <w:r>
          <w:rPr>
            <w:noProof/>
            <w:webHidden/>
          </w:rPr>
          <w:fldChar w:fldCharType="begin"/>
        </w:r>
        <w:r>
          <w:rPr>
            <w:noProof/>
            <w:webHidden/>
          </w:rPr>
          <w:instrText xml:space="preserve"> PAGEREF _Toc326741492 \h </w:instrText>
        </w:r>
        <w:r>
          <w:rPr>
            <w:noProof/>
            <w:webHidden/>
          </w:rPr>
        </w:r>
        <w:r>
          <w:rPr>
            <w:noProof/>
            <w:webHidden/>
          </w:rPr>
          <w:fldChar w:fldCharType="separate"/>
        </w:r>
        <w:r>
          <w:rPr>
            <w:noProof/>
            <w:webHidden/>
          </w:rPr>
          <w:t>11</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93" w:history="1">
        <w:r w:rsidRPr="00425354">
          <w:rPr>
            <w:rStyle w:val="Hypertextovodkaz"/>
            <w:rFonts w:eastAsiaTheme="majorEastAsia"/>
            <w:noProof/>
          </w:rPr>
          <w:t>2.1.5.2</w:t>
        </w:r>
        <w:r>
          <w:rPr>
            <w:rFonts w:asciiTheme="minorHAnsi" w:eastAsiaTheme="minorEastAsia" w:hAnsiTheme="minorHAnsi" w:cstheme="minorBidi"/>
            <w:noProof/>
            <w:sz w:val="22"/>
            <w:szCs w:val="22"/>
          </w:rPr>
          <w:tab/>
        </w:r>
        <w:r w:rsidRPr="00425354">
          <w:rPr>
            <w:rStyle w:val="Hypertextovodkaz"/>
            <w:rFonts w:eastAsiaTheme="majorEastAsia"/>
            <w:noProof/>
          </w:rPr>
          <w:t>Silniční přeprava</w:t>
        </w:r>
        <w:r>
          <w:rPr>
            <w:noProof/>
            <w:webHidden/>
          </w:rPr>
          <w:tab/>
        </w:r>
        <w:r>
          <w:rPr>
            <w:noProof/>
            <w:webHidden/>
          </w:rPr>
          <w:fldChar w:fldCharType="begin"/>
        </w:r>
        <w:r>
          <w:rPr>
            <w:noProof/>
            <w:webHidden/>
          </w:rPr>
          <w:instrText xml:space="preserve"> PAGEREF _Toc326741493 \h </w:instrText>
        </w:r>
        <w:r>
          <w:rPr>
            <w:noProof/>
            <w:webHidden/>
          </w:rPr>
        </w:r>
        <w:r>
          <w:rPr>
            <w:noProof/>
            <w:webHidden/>
          </w:rPr>
          <w:fldChar w:fldCharType="separate"/>
        </w:r>
        <w:r>
          <w:rPr>
            <w:noProof/>
            <w:webHidden/>
          </w:rPr>
          <w:t>18</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94" w:history="1">
        <w:r w:rsidRPr="00425354">
          <w:rPr>
            <w:rStyle w:val="Hypertextovodkaz"/>
            <w:rFonts w:eastAsiaTheme="majorEastAsia"/>
            <w:noProof/>
          </w:rPr>
          <w:t>2.1.5.3</w:t>
        </w:r>
        <w:r>
          <w:rPr>
            <w:rFonts w:asciiTheme="minorHAnsi" w:eastAsiaTheme="minorEastAsia" w:hAnsiTheme="minorHAnsi" w:cstheme="minorBidi"/>
            <w:noProof/>
            <w:sz w:val="22"/>
            <w:szCs w:val="22"/>
          </w:rPr>
          <w:tab/>
        </w:r>
        <w:r w:rsidRPr="00425354">
          <w:rPr>
            <w:rStyle w:val="Hypertextovodkaz"/>
            <w:rFonts w:eastAsiaTheme="majorEastAsia"/>
            <w:noProof/>
          </w:rPr>
          <w:t>Vnitrozemská vodní přeprava</w:t>
        </w:r>
        <w:r>
          <w:rPr>
            <w:noProof/>
            <w:webHidden/>
          </w:rPr>
          <w:tab/>
        </w:r>
        <w:r>
          <w:rPr>
            <w:noProof/>
            <w:webHidden/>
          </w:rPr>
          <w:fldChar w:fldCharType="begin"/>
        </w:r>
        <w:r>
          <w:rPr>
            <w:noProof/>
            <w:webHidden/>
          </w:rPr>
          <w:instrText xml:space="preserve"> PAGEREF _Toc326741494 \h </w:instrText>
        </w:r>
        <w:r>
          <w:rPr>
            <w:noProof/>
            <w:webHidden/>
          </w:rPr>
        </w:r>
        <w:r>
          <w:rPr>
            <w:noProof/>
            <w:webHidden/>
          </w:rPr>
          <w:fldChar w:fldCharType="separate"/>
        </w:r>
        <w:r>
          <w:rPr>
            <w:noProof/>
            <w:webHidden/>
          </w:rPr>
          <w:t>23</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95" w:history="1">
        <w:r w:rsidRPr="00425354">
          <w:rPr>
            <w:rStyle w:val="Hypertextovodkaz"/>
            <w:rFonts w:eastAsiaTheme="majorEastAsia"/>
            <w:noProof/>
          </w:rPr>
          <w:t>2.1.5.4</w:t>
        </w:r>
        <w:r>
          <w:rPr>
            <w:rFonts w:asciiTheme="minorHAnsi" w:eastAsiaTheme="minorEastAsia" w:hAnsiTheme="minorHAnsi" w:cstheme="minorBidi"/>
            <w:noProof/>
            <w:sz w:val="22"/>
            <w:szCs w:val="22"/>
          </w:rPr>
          <w:tab/>
        </w:r>
        <w:r w:rsidRPr="00425354">
          <w:rPr>
            <w:rStyle w:val="Hypertextovodkaz"/>
            <w:rFonts w:eastAsiaTheme="majorEastAsia"/>
            <w:noProof/>
          </w:rPr>
          <w:t>Systémová řešení přes vybrané druhy přeprav</w:t>
        </w:r>
        <w:r>
          <w:rPr>
            <w:noProof/>
            <w:webHidden/>
          </w:rPr>
          <w:tab/>
        </w:r>
        <w:r>
          <w:rPr>
            <w:noProof/>
            <w:webHidden/>
          </w:rPr>
          <w:fldChar w:fldCharType="begin"/>
        </w:r>
        <w:r>
          <w:rPr>
            <w:noProof/>
            <w:webHidden/>
          </w:rPr>
          <w:instrText xml:space="preserve"> PAGEREF _Toc326741495 \h </w:instrText>
        </w:r>
        <w:r>
          <w:rPr>
            <w:noProof/>
            <w:webHidden/>
          </w:rPr>
        </w:r>
        <w:r>
          <w:rPr>
            <w:noProof/>
            <w:webHidden/>
          </w:rPr>
          <w:fldChar w:fldCharType="separate"/>
        </w:r>
        <w:r>
          <w:rPr>
            <w:noProof/>
            <w:webHidden/>
          </w:rPr>
          <w:t>24</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96" w:history="1">
        <w:r w:rsidRPr="00425354">
          <w:rPr>
            <w:rStyle w:val="Hypertextovodkaz"/>
            <w:rFonts w:eastAsiaTheme="majorEastAsia"/>
            <w:noProof/>
          </w:rPr>
          <w:t>2.1.6</w:t>
        </w:r>
        <w:r>
          <w:rPr>
            <w:rFonts w:asciiTheme="minorHAnsi" w:eastAsiaTheme="minorEastAsia" w:hAnsiTheme="minorHAnsi" w:cstheme="minorBidi"/>
            <w:noProof/>
            <w:sz w:val="22"/>
            <w:szCs w:val="22"/>
          </w:rPr>
          <w:tab/>
        </w:r>
        <w:r w:rsidRPr="00425354">
          <w:rPr>
            <w:rStyle w:val="Hypertextovodkaz"/>
            <w:rFonts w:eastAsiaTheme="majorEastAsia"/>
            <w:noProof/>
          </w:rPr>
          <w:t>Chemický průmysl</w:t>
        </w:r>
        <w:r>
          <w:rPr>
            <w:noProof/>
            <w:webHidden/>
          </w:rPr>
          <w:tab/>
        </w:r>
        <w:r>
          <w:rPr>
            <w:noProof/>
            <w:webHidden/>
          </w:rPr>
          <w:fldChar w:fldCharType="begin"/>
        </w:r>
        <w:r>
          <w:rPr>
            <w:noProof/>
            <w:webHidden/>
          </w:rPr>
          <w:instrText xml:space="preserve"> PAGEREF _Toc326741496 \h </w:instrText>
        </w:r>
        <w:r>
          <w:rPr>
            <w:noProof/>
            <w:webHidden/>
          </w:rPr>
        </w:r>
        <w:r>
          <w:rPr>
            <w:noProof/>
            <w:webHidden/>
          </w:rPr>
          <w:fldChar w:fldCharType="separate"/>
        </w:r>
        <w:r>
          <w:rPr>
            <w:noProof/>
            <w:webHidden/>
          </w:rPr>
          <w:t>25</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97" w:history="1">
        <w:r w:rsidRPr="00425354">
          <w:rPr>
            <w:rStyle w:val="Hypertextovodkaz"/>
            <w:rFonts w:eastAsiaTheme="majorEastAsia"/>
            <w:noProof/>
          </w:rPr>
          <w:t>2.1.6.1</w:t>
        </w:r>
        <w:r>
          <w:rPr>
            <w:rFonts w:asciiTheme="minorHAnsi" w:eastAsiaTheme="minorEastAsia" w:hAnsiTheme="minorHAnsi" w:cstheme="minorBidi"/>
            <w:noProof/>
            <w:sz w:val="22"/>
            <w:szCs w:val="22"/>
          </w:rPr>
          <w:tab/>
        </w:r>
        <w:r w:rsidRPr="00425354">
          <w:rPr>
            <w:rStyle w:val="Hypertextovodkaz"/>
            <w:noProof/>
          </w:rPr>
          <w:t>VCI-Verband der Chemischen Industrie</w:t>
        </w:r>
        <w:r>
          <w:rPr>
            <w:noProof/>
            <w:webHidden/>
          </w:rPr>
          <w:tab/>
        </w:r>
        <w:r>
          <w:rPr>
            <w:noProof/>
            <w:webHidden/>
          </w:rPr>
          <w:fldChar w:fldCharType="begin"/>
        </w:r>
        <w:r>
          <w:rPr>
            <w:noProof/>
            <w:webHidden/>
          </w:rPr>
          <w:instrText xml:space="preserve"> PAGEREF _Toc326741497 \h </w:instrText>
        </w:r>
        <w:r>
          <w:rPr>
            <w:noProof/>
            <w:webHidden/>
          </w:rPr>
        </w:r>
        <w:r>
          <w:rPr>
            <w:noProof/>
            <w:webHidden/>
          </w:rPr>
          <w:fldChar w:fldCharType="separate"/>
        </w:r>
        <w:r>
          <w:rPr>
            <w:noProof/>
            <w:webHidden/>
          </w:rPr>
          <w:t>25</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498" w:history="1">
        <w:r w:rsidRPr="00425354">
          <w:rPr>
            <w:rStyle w:val="Hypertextovodkaz"/>
            <w:rFonts w:eastAsiaTheme="majorEastAsia"/>
            <w:noProof/>
          </w:rPr>
          <w:t>2.1.6.2</w:t>
        </w:r>
        <w:r>
          <w:rPr>
            <w:rFonts w:asciiTheme="minorHAnsi" w:eastAsiaTheme="minorEastAsia" w:hAnsiTheme="minorHAnsi" w:cstheme="minorBidi"/>
            <w:noProof/>
            <w:sz w:val="22"/>
            <w:szCs w:val="22"/>
          </w:rPr>
          <w:tab/>
        </w:r>
        <w:r w:rsidRPr="00425354">
          <w:rPr>
            <w:rStyle w:val="Hypertextovodkaz"/>
            <w:noProof/>
          </w:rPr>
          <w:t>TUIS - Transport-Unfall-Informations- und Hilfeleistungssystem</w:t>
        </w:r>
        <w:r>
          <w:rPr>
            <w:noProof/>
            <w:webHidden/>
          </w:rPr>
          <w:tab/>
        </w:r>
        <w:r>
          <w:rPr>
            <w:noProof/>
            <w:webHidden/>
          </w:rPr>
          <w:fldChar w:fldCharType="begin"/>
        </w:r>
        <w:r>
          <w:rPr>
            <w:noProof/>
            <w:webHidden/>
          </w:rPr>
          <w:instrText xml:space="preserve"> PAGEREF _Toc326741498 \h </w:instrText>
        </w:r>
        <w:r>
          <w:rPr>
            <w:noProof/>
            <w:webHidden/>
          </w:rPr>
        </w:r>
        <w:r>
          <w:rPr>
            <w:noProof/>
            <w:webHidden/>
          </w:rPr>
          <w:fldChar w:fldCharType="separate"/>
        </w:r>
        <w:r>
          <w:rPr>
            <w:noProof/>
            <w:webHidden/>
          </w:rPr>
          <w:t>25</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499" w:history="1">
        <w:r w:rsidRPr="00425354">
          <w:rPr>
            <w:rStyle w:val="Hypertextovodkaz"/>
            <w:rFonts w:eastAsiaTheme="majorEastAsia"/>
            <w:noProof/>
          </w:rPr>
          <w:t>2.1.7</w:t>
        </w:r>
        <w:r>
          <w:rPr>
            <w:rFonts w:asciiTheme="minorHAnsi" w:eastAsiaTheme="minorEastAsia" w:hAnsiTheme="minorHAnsi" w:cstheme="minorBidi"/>
            <w:noProof/>
            <w:sz w:val="22"/>
            <w:szCs w:val="22"/>
          </w:rPr>
          <w:tab/>
        </w:r>
        <w:r w:rsidRPr="00425354">
          <w:rPr>
            <w:rStyle w:val="Hypertextovodkaz"/>
            <w:rFonts w:eastAsiaTheme="majorEastAsia"/>
            <w:noProof/>
          </w:rPr>
          <w:t>Shrnutí</w:t>
        </w:r>
        <w:r>
          <w:rPr>
            <w:noProof/>
            <w:webHidden/>
          </w:rPr>
          <w:tab/>
        </w:r>
        <w:r>
          <w:rPr>
            <w:noProof/>
            <w:webHidden/>
          </w:rPr>
          <w:fldChar w:fldCharType="begin"/>
        </w:r>
        <w:r>
          <w:rPr>
            <w:noProof/>
            <w:webHidden/>
          </w:rPr>
          <w:instrText xml:space="preserve"> PAGEREF _Toc326741499 \h </w:instrText>
        </w:r>
        <w:r>
          <w:rPr>
            <w:noProof/>
            <w:webHidden/>
          </w:rPr>
        </w:r>
        <w:r>
          <w:rPr>
            <w:noProof/>
            <w:webHidden/>
          </w:rPr>
          <w:fldChar w:fldCharType="separate"/>
        </w:r>
        <w:r>
          <w:rPr>
            <w:noProof/>
            <w:webHidden/>
          </w:rPr>
          <w:t>27</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500" w:history="1">
        <w:r w:rsidRPr="00425354">
          <w:rPr>
            <w:rStyle w:val="Hypertextovodkaz"/>
            <w:rFonts w:eastAsiaTheme="majorEastAsia"/>
            <w:noProof/>
          </w:rPr>
          <w:t>2.2</w:t>
        </w:r>
        <w:r>
          <w:rPr>
            <w:rFonts w:asciiTheme="minorHAnsi" w:eastAsiaTheme="minorEastAsia" w:hAnsiTheme="minorHAnsi" w:cstheme="minorBidi"/>
            <w:b w:val="0"/>
            <w:bCs w:val="0"/>
            <w:noProof/>
          </w:rPr>
          <w:tab/>
        </w:r>
        <w:r w:rsidRPr="00425354">
          <w:rPr>
            <w:rStyle w:val="Hypertextovodkaz"/>
            <w:rFonts w:eastAsiaTheme="majorEastAsia"/>
            <w:noProof/>
          </w:rPr>
          <w:t>Republika Rakousko</w:t>
        </w:r>
        <w:r>
          <w:rPr>
            <w:noProof/>
            <w:webHidden/>
          </w:rPr>
          <w:tab/>
        </w:r>
        <w:r>
          <w:rPr>
            <w:noProof/>
            <w:webHidden/>
          </w:rPr>
          <w:fldChar w:fldCharType="begin"/>
        </w:r>
        <w:r>
          <w:rPr>
            <w:noProof/>
            <w:webHidden/>
          </w:rPr>
          <w:instrText xml:space="preserve"> PAGEREF _Toc326741500 \h </w:instrText>
        </w:r>
        <w:r>
          <w:rPr>
            <w:noProof/>
            <w:webHidden/>
          </w:rPr>
        </w:r>
        <w:r>
          <w:rPr>
            <w:noProof/>
            <w:webHidden/>
          </w:rPr>
          <w:fldChar w:fldCharType="separate"/>
        </w:r>
        <w:r>
          <w:rPr>
            <w:noProof/>
            <w:webHidden/>
          </w:rPr>
          <w:t>28</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01" w:history="1">
        <w:r w:rsidRPr="00425354">
          <w:rPr>
            <w:rStyle w:val="Hypertextovodkaz"/>
            <w:rFonts w:eastAsiaTheme="majorEastAsia"/>
            <w:noProof/>
          </w:rPr>
          <w:t>2.2.1</w:t>
        </w:r>
        <w:r>
          <w:rPr>
            <w:rFonts w:asciiTheme="minorHAnsi" w:eastAsiaTheme="minorEastAsia" w:hAnsiTheme="minorHAnsi" w:cstheme="minorBidi"/>
            <w:noProof/>
            <w:sz w:val="22"/>
            <w:szCs w:val="22"/>
          </w:rPr>
          <w:tab/>
        </w:r>
        <w:r w:rsidRPr="00425354">
          <w:rPr>
            <w:rStyle w:val="Hypertextovodkaz"/>
            <w:rFonts w:eastAsiaTheme="majorEastAsia"/>
            <w:noProof/>
          </w:rPr>
          <w:t>Legislativní rámec</w:t>
        </w:r>
        <w:r>
          <w:rPr>
            <w:noProof/>
            <w:webHidden/>
          </w:rPr>
          <w:tab/>
        </w:r>
        <w:r>
          <w:rPr>
            <w:noProof/>
            <w:webHidden/>
          </w:rPr>
          <w:fldChar w:fldCharType="begin"/>
        </w:r>
        <w:r>
          <w:rPr>
            <w:noProof/>
            <w:webHidden/>
          </w:rPr>
          <w:instrText xml:space="preserve"> PAGEREF _Toc326741501 \h </w:instrText>
        </w:r>
        <w:r>
          <w:rPr>
            <w:noProof/>
            <w:webHidden/>
          </w:rPr>
        </w:r>
        <w:r>
          <w:rPr>
            <w:noProof/>
            <w:webHidden/>
          </w:rPr>
          <w:fldChar w:fldCharType="separate"/>
        </w:r>
        <w:r>
          <w:rPr>
            <w:noProof/>
            <w:webHidden/>
          </w:rPr>
          <w:t>28</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02" w:history="1">
        <w:r w:rsidRPr="00425354">
          <w:rPr>
            <w:rStyle w:val="Hypertextovodkaz"/>
            <w:rFonts w:eastAsiaTheme="majorEastAsia"/>
            <w:noProof/>
          </w:rPr>
          <w:t>2.2.2</w:t>
        </w:r>
        <w:r>
          <w:rPr>
            <w:rFonts w:asciiTheme="minorHAnsi" w:eastAsiaTheme="minorEastAsia" w:hAnsiTheme="minorHAnsi" w:cstheme="minorBidi"/>
            <w:noProof/>
            <w:sz w:val="22"/>
            <w:szCs w:val="22"/>
          </w:rPr>
          <w:tab/>
        </w:r>
        <w:r w:rsidRPr="00425354">
          <w:rPr>
            <w:rStyle w:val="Hypertextovodkaz"/>
            <w:rFonts w:eastAsiaTheme="majorEastAsia"/>
            <w:noProof/>
          </w:rPr>
          <w:t>Postupy a aplikace systému</w:t>
        </w:r>
        <w:r>
          <w:rPr>
            <w:noProof/>
            <w:webHidden/>
          </w:rPr>
          <w:tab/>
        </w:r>
        <w:r>
          <w:rPr>
            <w:noProof/>
            <w:webHidden/>
          </w:rPr>
          <w:fldChar w:fldCharType="begin"/>
        </w:r>
        <w:r>
          <w:rPr>
            <w:noProof/>
            <w:webHidden/>
          </w:rPr>
          <w:instrText xml:space="preserve"> PAGEREF _Toc326741502 \h </w:instrText>
        </w:r>
        <w:r>
          <w:rPr>
            <w:noProof/>
            <w:webHidden/>
          </w:rPr>
        </w:r>
        <w:r>
          <w:rPr>
            <w:noProof/>
            <w:webHidden/>
          </w:rPr>
          <w:fldChar w:fldCharType="separate"/>
        </w:r>
        <w:r>
          <w:rPr>
            <w:noProof/>
            <w:webHidden/>
          </w:rPr>
          <w:t>29</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03" w:history="1">
        <w:r w:rsidRPr="00425354">
          <w:rPr>
            <w:rStyle w:val="Hypertextovodkaz"/>
            <w:rFonts w:eastAsiaTheme="majorEastAsia"/>
            <w:noProof/>
          </w:rPr>
          <w:t>2.2.2.1</w:t>
        </w:r>
        <w:r>
          <w:rPr>
            <w:rFonts w:asciiTheme="minorHAnsi" w:eastAsiaTheme="minorEastAsia" w:hAnsiTheme="minorHAnsi" w:cstheme="minorBidi"/>
            <w:noProof/>
            <w:sz w:val="22"/>
            <w:szCs w:val="22"/>
          </w:rPr>
          <w:tab/>
        </w:r>
        <w:r w:rsidRPr="00425354">
          <w:rPr>
            <w:rStyle w:val="Hypertextovodkaz"/>
            <w:rFonts w:eastAsiaTheme="majorEastAsia"/>
            <w:noProof/>
          </w:rPr>
          <w:t>Silniční přeprava</w:t>
        </w:r>
        <w:r>
          <w:rPr>
            <w:noProof/>
            <w:webHidden/>
          </w:rPr>
          <w:tab/>
        </w:r>
        <w:r>
          <w:rPr>
            <w:noProof/>
            <w:webHidden/>
          </w:rPr>
          <w:fldChar w:fldCharType="begin"/>
        </w:r>
        <w:r>
          <w:rPr>
            <w:noProof/>
            <w:webHidden/>
          </w:rPr>
          <w:instrText xml:space="preserve"> PAGEREF _Toc326741503 \h </w:instrText>
        </w:r>
        <w:r>
          <w:rPr>
            <w:noProof/>
            <w:webHidden/>
          </w:rPr>
        </w:r>
        <w:r>
          <w:rPr>
            <w:noProof/>
            <w:webHidden/>
          </w:rPr>
          <w:fldChar w:fldCharType="separate"/>
        </w:r>
        <w:r>
          <w:rPr>
            <w:noProof/>
            <w:webHidden/>
          </w:rPr>
          <w:t>30</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04" w:history="1">
        <w:r w:rsidRPr="00425354">
          <w:rPr>
            <w:rStyle w:val="Hypertextovodkaz"/>
            <w:rFonts w:eastAsiaTheme="majorEastAsia"/>
            <w:noProof/>
          </w:rPr>
          <w:t>2.2.2.2</w:t>
        </w:r>
        <w:r>
          <w:rPr>
            <w:rFonts w:asciiTheme="minorHAnsi" w:eastAsiaTheme="minorEastAsia" w:hAnsiTheme="minorHAnsi" w:cstheme="minorBidi"/>
            <w:noProof/>
            <w:sz w:val="22"/>
            <w:szCs w:val="22"/>
          </w:rPr>
          <w:tab/>
        </w:r>
        <w:r w:rsidRPr="00425354">
          <w:rPr>
            <w:rStyle w:val="Hypertextovodkaz"/>
            <w:rFonts w:eastAsiaTheme="majorEastAsia"/>
            <w:noProof/>
          </w:rPr>
          <w:t>Železniční přeprava</w:t>
        </w:r>
        <w:r>
          <w:rPr>
            <w:noProof/>
            <w:webHidden/>
          </w:rPr>
          <w:tab/>
        </w:r>
        <w:r>
          <w:rPr>
            <w:noProof/>
            <w:webHidden/>
          </w:rPr>
          <w:fldChar w:fldCharType="begin"/>
        </w:r>
        <w:r>
          <w:rPr>
            <w:noProof/>
            <w:webHidden/>
          </w:rPr>
          <w:instrText xml:space="preserve"> PAGEREF _Toc326741504 \h </w:instrText>
        </w:r>
        <w:r>
          <w:rPr>
            <w:noProof/>
            <w:webHidden/>
          </w:rPr>
        </w:r>
        <w:r>
          <w:rPr>
            <w:noProof/>
            <w:webHidden/>
          </w:rPr>
          <w:fldChar w:fldCharType="separate"/>
        </w:r>
        <w:r>
          <w:rPr>
            <w:noProof/>
            <w:webHidden/>
          </w:rPr>
          <w:t>35</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05" w:history="1">
        <w:r w:rsidRPr="00425354">
          <w:rPr>
            <w:rStyle w:val="Hypertextovodkaz"/>
            <w:rFonts w:eastAsiaTheme="majorEastAsia"/>
            <w:noProof/>
          </w:rPr>
          <w:t>2.2.2.3</w:t>
        </w:r>
        <w:r>
          <w:rPr>
            <w:rFonts w:asciiTheme="minorHAnsi" w:eastAsiaTheme="minorEastAsia" w:hAnsiTheme="minorHAnsi" w:cstheme="minorBidi"/>
            <w:noProof/>
            <w:sz w:val="22"/>
            <w:szCs w:val="22"/>
          </w:rPr>
          <w:tab/>
        </w:r>
        <w:r w:rsidRPr="00425354">
          <w:rPr>
            <w:rStyle w:val="Hypertextovodkaz"/>
            <w:rFonts w:eastAsiaTheme="majorEastAsia"/>
            <w:noProof/>
          </w:rPr>
          <w:t>Vnitrozemská vodní přeprava</w:t>
        </w:r>
        <w:r>
          <w:rPr>
            <w:noProof/>
            <w:webHidden/>
          </w:rPr>
          <w:tab/>
        </w:r>
        <w:r>
          <w:rPr>
            <w:noProof/>
            <w:webHidden/>
          </w:rPr>
          <w:fldChar w:fldCharType="begin"/>
        </w:r>
        <w:r>
          <w:rPr>
            <w:noProof/>
            <w:webHidden/>
          </w:rPr>
          <w:instrText xml:space="preserve"> PAGEREF _Toc326741505 \h </w:instrText>
        </w:r>
        <w:r>
          <w:rPr>
            <w:noProof/>
            <w:webHidden/>
          </w:rPr>
        </w:r>
        <w:r>
          <w:rPr>
            <w:noProof/>
            <w:webHidden/>
          </w:rPr>
          <w:fldChar w:fldCharType="separate"/>
        </w:r>
        <w:r>
          <w:rPr>
            <w:noProof/>
            <w:webHidden/>
          </w:rPr>
          <w:t>35</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06" w:history="1">
        <w:r w:rsidRPr="00425354">
          <w:rPr>
            <w:rStyle w:val="Hypertextovodkaz"/>
            <w:rFonts w:eastAsiaTheme="majorEastAsia"/>
            <w:noProof/>
          </w:rPr>
          <w:t>2.2.3</w:t>
        </w:r>
        <w:r>
          <w:rPr>
            <w:rFonts w:asciiTheme="minorHAnsi" w:eastAsiaTheme="minorEastAsia" w:hAnsiTheme="minorHAnsi" w:cstheme="minorBidi"/>
            <w:noProof/>
            <w:sz w:val="22"/>
            <w:szCs w:val="22"/>
          </w:rPr>
          <w:tab/>
        </w:r>
        <w:r w:rsidRPr="00425354">
          <w:rPr>
            <w:rStyle w:val="Hypertextovodkaz"/>
            <w:rFonts w:eastAsiaTheme="majorEastAsia"/>
            <w:noProof/>
          </w:rPr>
          <w:t>Shrnutí</w:t>
        </w:r>
        <w:r>
          <w:rPr>
            <w:noProof/>
            <w:webHidden/>
          </w:rPr>
          <w:tab/>
        </w:r>
        <w:r>
          <w:rPr>
            <w:noProof/>
            <w:webHidden/>
          </w:rPr>
          <w:fldChar w:fldCharType="begin"/>
        </w:r>
        <w:r>
          <w:rPr>
            <w:noProof/>
            <w:webHidden/>
          </w:rPr>
          <w:instrText xml:space="preserve"> PAGEREF _Toc326741506 \h </w:instrText>
        </w:r>
        <w:r>
          <w:rPr>
            <w:noProof/>
            <w:webHidden/>
          </w:rPr>
        </w:r>
        <w:r>
          <w:rPr>
            <w:noProof/>
            <w:webHidden/>
          </w:rPr>
          <w:fldChar w:fldCharType="separate"/>
        </w:r>
        <w:r>
          <w:rPr>
            <w:noProof/>
            <w:webHidden/>
          </w:rPr>
          <w:t>36</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507" w:history="1">
        <w:r w:rsidRPr="00425354">
          <w:rPr>
            <w:rStyle w:val="Hypertextovodkaz"/>
            <w:rFonts w:eastAsiaTheme="majorEastAsia"/>
            <w:noProof/>
          </w:rPr>
          <w:t>2.3</w:t>
        </w:r>
        <w:r>
          <w:rPr>
            <w:rFonts w:asciiTheme="minorHAnsi" w:eastAsiaTheme="minorEastAsia" w:hAnsiTheme="minorHAnsi" w:cstheme="minorBidi"/>
            <w:b w:val="0"/>
            <w:bCs w:val="0"/>
            <w:noProof/>
          </w:rPr>
          <w:tab/>
        </w:r>
        <w:r w:rsidRPr="00425354">
          <w:rPr>
            <w:rStyle w:val="Hypertextovodkaz"/>
            <w:rFonts w:eastAsiaTheme="majorEastAsia"/>
            <w:noProof/>
          </w:rPr>
          <w:t>Polská republika</w:t>
        </w:r>
        <w:r>
          <w:rPr>
            <w:noProof/>
            <w:webHidden/>
          </w:rPr>
          <w:tab/>
        </w:r>
        <w:r>
          <w:rPr>
            <w:noProof/>
            <w:webHidden/>
          </w:rPr>
          <w:fldChar w:fldCharType="begin"/>
        </w:r>
        <w:r>
          <w:rPr>
            <w:noProof/>
            <w:webHidden/>
          </w:rPr>
          <w:instrText xml:space="preserve"> PAGEREF _Toc326741507 \h </w:instrText>
        </w:r>
        <w:r>
          <w:rPr>
            <w:noProof/>
            <w:webHidden/>
          </w:rPr>
        </w:r>
        <w:r>
          <w:rPr>
            <w:noProof/>
            <w:webHidden/>
          </w:rPr>
          <w:fldChar w:fldCharType="separate"/>
        </w:r>
        <w:r>
          <w:rPr>
            <w:noProof/>
            <w:webHidden/>
          </w:rPr>
          <w:t>37</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08" w:history="1">
        <w:r w:rsidRPr="00425354">
          <w:rPr>
            <w:rStyle w:val="Hypertextovodkaz"/>
            <w:rFonts w:eastAsiaTheme="majorEastAsia"/>
            <w:noProof/>
          </w:rPr>
          <w:t>2.3.1</w:t>
        </w:r>
        <w:r>
          <w:rPr>
            <w:rFonts w:asciiTheme="minorHAnsi" w:eastAsiaTheme="minorEastAsia" w:hAnsiTheme="minorHAnsi" w:cstheme="minorBidi"/>
            <w:noProof/>
            <w:sz w:val="22"/>
            <w:szCs w:val="22"/>
          </w:rPr>
          <w:tab/>
        </w:r>
        <w:r w:rsidRPr="00425354">
          <w:rPr>
            <w:rStyle w:val="Hypertextovodkaz"/>
            <w:rFonts w:eastAsiaTheme="majorEastAsia"/>
            <w:noProof/>
          </w:rPr>
          <w:t>Legislativní rámec</w:t>
        </w:r>
        <w:r>
          <w:rPr>
            <w:noProof/>
            <w:webHidden/>
          </w:rPr>
          <w:tab/>
        </w:r>
        <w:r>
          <w:rPr>
            <w:noProof/>
            <w:webHidden/>
          </w:rPr>
          <w:fldChar w:fldCharType="begin"/>
        </w:r>
        <w:r>
          <w:rPr>
            <w:noProof/>
            <w:webHidden/>
          </w:rPr>
          <w:instrText xml:space="preserve"> PAGEREF _Toc326741508 \h </w:instrText>
        </w:r>
        <w:r>
          <w:rPr>
            <w:noProof/>
            <w:webHidden/>
          </w:rPr>
        </w:r>
        <w:r>
          <w:rPr>
            <w:noProof/>
            <w:webHidden/>
          </w:rPr>
          <w:fldChar w:fldCharType="separate"/>
        </w:r>
        <w:r>
          <w:rPr>
            <w:noProof/>
            <w:webHidden/>
          </w:rPr>
          <w:t>37</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09" w:history="1">
        <w:r w:rsidRPr="00425354">
          <w:rPr>
            <w:rStyle w:val="Hypertextovodkaz"/>
            <w:rFonts w:eastAsiaTheme="majorEastAsia"/>
            <w:noProof/>
          </w:rPr>
          <w:t>2.3.1.1</w:t>
        </w:r>
        <w:r>
          <w:rPr>
            <w:rFonts w:asciiTheme="minorHAnsi" w:eastAsiaTheme="minorEastAsia" w:hAnsiTheme="minorHAnsi" w:cstheme="minorBidi"/>
            <w:noProof/>
            <w:sz w:val="22"/>
            <w:szCs w:val="22"/>
          </w:rPr>
          <w:tab/>
        </w:r>
        <w:r w:rsidRPr="00425354">
          <w:rPr>
            <w:rStyle w:val="Hypertextovodkaz"/>
            <w:rFonts w:eastAsiaTheme="majorEastAsia"/>
            <w:noProof/>
          </w:rPr>
          <w:t>Zákony</w:t>
        </w:r>
        <w:r>
          <w:rPr>
            <w:noProof/>
            <w:webHidden/>
          </w:rPr>
          <w:tab/>
        </w:r>
        <w:r>
          <w:rPr>
            <w:noProof/>
            <w:webHidden/>
          </w:rPr>
          <w:fldChar w:fldCharType="begin"/>
        </w:r>
        <w:r>
          <w:rPr>
            <w:noProof/>
            <w:webHidden/>
          </w:rPr>
          <w:instrText xml:space="preserve"> PAGEREF _Toc326741509 \h </w:instrText>
        </w:r>
        <w:r>
          <w:rPr>
            <w:noProof/>
            <w:webHidden/>
          </w:rPr>
        </w:r>
        <w:r>
          <w:rPr>
            <w:noProof/>
            <w:webHidden/>
          </w:rPr>
          <w:fldChar w:fldCharType="separate"/>
        </w:r>
        <w:r>
          <w:rPr>
            <w:noProof/>
            <w:webHidden/>
          </w:rPr>
          <w:t>37</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0" w:history="1">
        <w:r w:rsidRPr="00425354">
          <w:rPr>
            <w:rStyle w:val="Hypertextovodkaz"/>
            <w:rFonts w:eastAsiaTheme="majorEastAsia"/>
            <w:noProof/>
          </w:rPr>
          <w:t>2.3.1.2</w:t>
        </w:r>
        <w:r>
          <w:rPr>
            <w:rFonts w:asciiTheme="minorHAnsi" w:eastAsiaTheme="minorEastAsia" w:hAnsiTheme="minorHAnsi" w:cstheme="minorBidi"/>
            <w:noProof/>
            <w:sz w:val="22"/>
            <w:szCs w:val="22"/>
          </w:rPr>
          <w:tab/>
        </w:r>
        <w:r w:rsidRPr="00425354">
          <w:rPr>
            <w:rStyle w:val="Hypertextovodkaz"/>
            <w:rFonts w:eastAsiaTheme="majorEastAsia"/>
            <w:noProof/>
          </w:rPr>
          <w:t>Vyhlášky</w:t>
        </w:r>
        <w:r>
          <w:rPr>
            <w:noProof/>
            <w:webHidden/>
          </w:rPr>
          <w:tab/>
        </w:r>
        <w:r>
          <w:rPr>
            <w:noProof/>
            <w:webHidden/>
          </w:rPr>
          <w:fldChar w:fldCharType="begin"/>
        </w:r>
        <w:r>
          <w:rPr>
            <w:noProof/>
            <w:webHidden/>
          </w:rPr>
          <w:instrText xml:space="preserve"> PAGEREF _Toc326741510 \h </w:instrText>
        </w:r>
        <w:r>
          <w:rPr>
            <w:noProof/>
            <w:webHidden/>
          </w:rPr>
        </w:r>
        <w:r>
          <w:rPr>
            <w:noProof/>
            <w:webHidden/>
          </w:rPr>
          <w:fldChar w:fldCharType="separate"/>
        </w:r>
        <w:r>
          <w:rPr>
            <w:noProof/>
            <w:webHidden/>
          </w:rPr>
          <w:t>37</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11" w:history="1">
        <w:r w:rsidRPr="00425354">
          <w:rPr>
            <w:rStyle w:val="Hypertextovodkaz"/>
            <w:rFonts w:eastAsiaTheme="majorEastAsia"/>
            <w:noProof/>
          </w:rPr>
          <w:t>2.3.2</w:t>
        </w:r>
        <w:r>
          <w:rPr>
            <w:rFonts w:asciiTheme="minorHAnsi" w:eastAsiaTheme="minorEastAsia" w:hAnsiTheme="minorHAnsi" w:cstheme="minorBidi"/>
            <w:noProof/>
            <w:sz w:val="22"/>
            <w:szCs w:val="22"/>
          </w:rPr>
          <w:tab/>
        </w:r>
        <w:r w:rsidRPr="00425354">
          <w:rPr>
            <w:rStyle w:val="Hypertextovodkaz"/>
            <w:rFonts w:eastAsiaTheme="majorEastAsia"/>
            <w:noProof/>
          </w:rPr>
          <w:t>Dokumenty vládního Centra dokonalosti MANHAZ</w:t>
        </w:r>
        <w:r>
          <w:rPr>
            <w:noProof/>
            <w:webHidden/>
          </w:rPr>
          <w:tab/>
        </w:r>
        <w:r>
          <w:rPr>
            <w:noProof/>
            <w:webHidden/>
          </w:rPr>
          <w:fldChar w:fldCharType="begin"/>
        </w:r>
        <w:r>
          <w:rPr>
            <w:noProof/>
            <w:webHidden/>
          </w:rPr>
          <w:instrText xml:space="preserve"> PAGEREF _Toc326741511 \h </w:instrText>
        </w:r>
        <w:r>
          <w:rPr>
            <w:noProof/>
            <w:webHidden/>
          </w:rPr>
        </w:r>
        <w:r>
          <w:rPr>
            <w:noProof/>
            <w:webHidden/>
          </w:rPr>
          <w:fldChar w:fldCharType="separate"/>
        </w:r>
        <w:r>
          <w:rPr>
            <w:noProof/>
            <w:webHidden/>
          </w:rPr>
          <w:t>39</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2" w:history="1">
        <w:r w:rsidRPr="00425354">
          <w:rPr>
            <w:rStyle w:val="Hypertextovodkaz"/>
            <w:rFonts w:eastAsiaTheme="majorEastAsia"/>
            <w:noProof/>
          </w:rPr>
          <w:t>2.3.2.1</w:t>
        </w:r>
        <w:r>
          <w:rPr>
            <w:rFonts w:asciiTheme="minorHAnsi" w:eastAsiaTheme="minorEastAsia" w:hAnsiTheme="minorHAnsi" w:cstheme="minorBidi"/>
            <w:noProof/>
            <w:sz w:val="22"/>
            <w:szCs w:val="22"/>
          </w:rPr>
          <w:tab/>
        </w:r>
        <w:r w:rsidRPr="00425354">
          <w:rPr>
            <w:rStyle w:val="Hypertextovodkaz"/>
            <w:rFonts w:eastAsiaTheme="majorEastAsia"/>
            <w:noProof/>
          </w:rPr>
          <w:t xml:space="preserve">Monografie „Systém managementu rizika pro lidi a prostředí spojený se železniční dopravou nebezpečných chemikálií realizovaný v rámci projektu </w:t>
        </w:r>
        <w:r w:rsidRPr="00425354">
          <w:rPr>
            <w:rStyle w:val="Hypertextovodkaz"/>
            <w:rFonts w:eastAsiaTheme="majorEastAsia"/>
            <w:i/>
            <w:noProof/>
          </w:rPr>
          <w:t>Zvýšení bezpečnosti a podmínek práce</w:t>
        </w:r>
        <w:r w:rsidRPr="00425354">
          <w:rPr>
            <w:rStyle w:val="Hypertextovodkaz"/>
            <w:rFonts w:eastAsiaTheme="majorEastAsia"/>
            <w:noProof/>
          </w:rPr>
          <w:t>“</w:t>
        </w:r>
        <w:r>
          <w:rPr>
            <w:noProof/>
            <w:webHidden/>
          </w:rPr>
          <w:tab/>
        </w:r>
        <w:r>
          <w:rPr>
            <w:noProof/>
            <w:webHidden/>
          </w:rPr>
          <w:fldChar w:fldCharType="begin"/>
        </w:r>
        <w:r>
          <w:rPr>
            <w:noProof/>
            <w:webHidden/>
          </w:rPr>
          <w:instrText xml:space="preserve"> PAGEREF _Toc326741512 \h </w:instrText>
        </w:r>
        <w:r>
          <w:rPr>
            <w:noProof/>
            <w:webHidden/>
          </w:rPr>
        </w:r>
        <w:r>
          <w:rPr>
            <w:noProof/>
            <w:webHidden/>
          </w:rPr>
          <w:fldChar w:fldCharType="separate"/>
        </w:r>
        <w:r>
          <w:rPr>
            <w:noProof/>
            <w:webHidden/>
          </w:rPr>
          <w:t>39</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3" w:history="1">
        <w:r w:rsidRPr="00425354">
          <w:rPr>
            <w:rStyle w:val="Hypertextovodkaz"/>
            <w:rFonts w:eastAsiaTheme="majorEastAsia"/>
            <w:noProof/>
          </w:rPr>
          <w:t>2.3.2.2</w:t>
        </w:r>
        <w:r>
          <w:rPr>
            <w:rFonts w:asciiTheme="minorHAnsi" w:eastAsiaTheme="minorEastAsia" w:hAnsiTheme="minorHAnsi" w:cstheme="minorBidi"/>
            <w:noProof/>
            <w:sz w:val="22"/>
            <w:szCs w:val="22"/>
          </w:rPr>
          <w:tab/>
        </w:r>
        <w:r w:rsidRPr="00425354">
          <w:rPr>
            <w:rStyle w:val="Hypertextovodkaz"/>
            <w:rFonts w:eastAsiaTheme="majorEastAsia"/>
            <w:noProof/>
          </w:rPr>
          <w:t>Databáze (seznam) nebezpečných látek</w:t>
        </w:r>
        <w:r>
          <w:rPr>
            <w:noProof/>
            <w:webHidden/>
          </w:rPr>
          <w:tab/>
        </w:r>
        <w:r>
          <w:rPr>
            <w:noProof/>
            <w:webHidden/>
          </w:rPr>
          <w:fldChar w:fldCharType="begin"/>
        </w:r>
        <w:r>
          <w:rPr>
            <w:noProof/>
            <w:webHidden/>
          </w:rPr>
          <w:instrText xml:space="preserve"> PAGEREF _Toc326741513 \h </w:instrText>
        </w:r>
        <w:r>
          <w:rPr>
            <w:noProof/>
            <w:webHidden/>
          </w:rPr>
        </w:r>
        <w:r>
          <w:rPr>
            <w:noProof/>
            <w:webHidden/>
          </w:rPr>
          <w:fldChar w:fldCharType="separate"/>
        </w:r>
        <w:r>
          <w:rPr>
            <w:noProof/>
            <w:webHidden/>
          </w:rPr>
          <w:t>39</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4" w:history="1">
        <w:r w:rsidRPr="00425354">
          <w:rPr>
            <w:rStyle w:val="Hypertextovodkaz"/>
            <w:rFonts w:eastAsiaTheme="majorEastAsia"/>
            <w:noProof/>
          </w:rPr>
          <w:t>2.3.2.3</w:t>
        </w:r>
        <w:r>
          <w:rPr>
            <w:rFonts w:asciiTheme="minorHAnsi" w:eastAsiaTheme="minorEastAsia" w:hAnsiTheme="minorHAnsi" w:cstheme="minorBidi"/>
            <w:noProof/>
            <w:sz w:val="22"/>
            <w:szCs w:val="22"/>
          </w:rPr>
          <w:tab/>
        </w:r>
        <w:r w:rsidRPr="00425354">
          <w:rPr>
            <w:rStyle w:val="Hypertextovodkaz"/>
            <w:rFonts w:eastAsiaTheme="majorEastAsia"/>
            <w:noProof/>
          </w:rPr>
          <w:t>Databáze „Zásady záchranných postupů”</w:t>
        </w:r>
        <w:r>
          <w:rPr>
            <w:noProof/>
            <w:webHidden/>
          </w:rPr>
          <w:tab/>
        </w:r>
        <w:r>
          <w:rPr>
            <w:noProof/>
            <w:webHidden/>
          </w:rPr>
          <w:fldChar w:fldCharType="begin"/>
        </w:r>
        <w:r>
          <w:rPr>
            <w:noProof/>
            <w:webHidden/>
          </w:rPr>
          <w:instrText xml:space="preserve"> PAGEREF _Toc326741514 \h </w:instrText>
        </w:r>
        <w:r>
          <w:rPr>
            <w:noProof/>
            <w:webHidden/>
          </w:rPr>
        </w:r>
        <w:r>
          <w:rPr>
            <w:noProof/>
            <w:webHidden/>
          </w:rPr>
          <w:fldChar w:fldCharType="separate"/>
        </w:r>
        <w:r>
          <w:rPr>
            <w:noProof/>
            <w:webHidden/>
          </w:rPr>
          <w:t>39</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15" w:history="1">
        <w:r w:rsidRPr="00425354">
          <w:rPr>
            <w:rStyle w:val="Hypertextovodkaz"/>
            <w:rFonts w:eastAsiaTheme="majorEastAsia"/>
            <w:noProof/>
          </w:rPr>
          <w:t>2.3.3</w:t>
        </w:r>
        <w:r>
          <w:rPr>
            <w:rFonts w:asciiTheme="minorHAnsi" w:eastAsiaTheme="minorEastAsia" w:hAnsiTheme="minorHAnsi" w:cstheme="minorBidi"/>
            <w:noProof/>
            <w:sz w:val="22"/>
            <w:szCs w:val="22"/>
          </w:rPr>
          <w:tab/>
        </w:r>
        <w:r w:rsidRPr="00425354">
          <w:rPr>
            <w:rStyle w:val="Hypertextovodkaz"/>
            <w:rFonts w:eastAsiaTheme="majorEastAsia"/>
            <w:noProof/>
          </w:rPr>
          <w:t>Organizace přepravy nebezpečných věcí</w:t>
        </w:r>
        <w:r>
          <w:rPr>
            <w:noProof/>
            <w:webHidden/>
          </w:rPr>
          <w:tab/>
        </w:r>
        <w:r>
          <w:rPr>
            <w:noProof/>
            <w:webHidden/>
          </w:rPr>
          <w:fldChar w:fldCharType="begin"/>
        </w:r>
        <w:r>
          <w:rPr>
            <w:noProof/>
            <w:webHidden/>
          </w:rPr>
          <w:instrText xml:space="preserve"> PAGEREF _Toc326741515 \h </w:instrText>
        </w:r>
        <w:r>
          <w:rPr>
            <w:noProof/>
            <w:webHidden/>
          </w:rPr>
        </w:r>
        <w:r>
          <w:rPr>
            <w:noProof/>
            <w:webHidden/>
          </w:rPr>
          <w:fldChar w:fldCharType="separate"/>
        </w:r>
        <w:r>
          <w:rPr>
            <w:noProof/>
            <w:webHidden/>
          </w:rPr>
          <w:t>40</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6" w:history="1">
        <w:r w:rsidRPr="00425354">
          <w:rPr>
            <w:rStyle w:val="Hypertextovodkaz"/>
            <w:rFonts w:eastAsiaTheme="majorEastAsia"/>
            <w:noProof/>
          </w:rPr>
          <w:t>2.3.3.1</w:t>
        </w:r>
        <w:r>
          <w:rPr>
            <w:rFonts w:asciiTheme="minorHAnsi" w:eastAsiaTheme="minorEastAsia" w:hAnsiTheme="minorHAnsi" w:cstheme="minorBidi"/>
            <w:noProof/>
            <w:sz w:val="22"/>
            <w:szCs w:val="22"/>
          </w:rPr>
          <w:tab/>
        </w:r>
        <w:r w:rsidRPr="00425354">
          <w:rPr>
            <w:rStyle w:val="Hypertextovodkaz"/>
            <w:rFonts w:eastAsiaTheme="majorEastAsia"/>
            <w:noProof/>
          </w:rPr>
          <w:t>Silniční doprava</w:t>
        </w:r>
        <w:r>
          <w:rPr>
            <w:noProof/>
            <w:webHidden/>
          </w:rPr>
          <w:tab/>
        </w:r>
        <w:r>
          <w:rPr>
            <w:noProof/>
            <w:webHidden/>
          </w:rPr>
          <w:fldChar w:fldCharType="begin"/>
        </w:r>
        <w:r>
          <w:rPr>
            <w:noProof/>
            <w:webHidden/>
          </w:rPr>
          <w:instrText xml:space="preserve"> PAGEREF _Toc326741516 \h </w:instrText>
        </w:r>
        <w:r>
          <w:rPr>
            <w:noProof/>
            <w:webHidden/>
          </w:rPr>
        </w:r>
        <w:r>
          <w:rPr>
            <w:noProof/>
            <w:webHidden/>
          </w:rPr>
          <w:fldChar w:fldCharType="separate"/>
        </w:r>
        <w:r>
          <w:rPr>
            <w:noProof/>
            <w:webHidden/>
          </w:rPr>
          <w:t>40</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7" w:history="1">
        <w:r w:rsidRPr="00425354">
          <w:rPr>
            <w:rStyle w:val="Hypertextovodkaz"/>
            <w:rFonts w:eastAsiaTheme="majorEastAsia"/>
            <w:noProof/>
          </w:rPr>
          <w:t>2.3.3.2</w:t>
        </w:r>
        <w:r>
          <w:rPr>
            <w:rFonts w:asciiTheme="minorHAnsi" w:eastAsiaTheme="minorEastAsia" w:hAnsiTheme="minorHAnsi" w:cstheme="minorBidi"/>
            <w:noProof/>
            <w:sz w:val="22"/>
            <w:szCs w:val="22"/>
          </w:rPr>
          <w:tab/>
        </w:r>
        <w:r w:rsidRPr="00425354">
          <w:rPr>
            <w:rStyle w:val="Hypertextovodkaz"/>
            <w:rFonts w:eastAsiaTheme="majorEastAsia"/>
            <w:noProof/>
          </w:rPr>
          <w:t>Železniční doprava</w:t>
        </w:r>
        <w:r>
          <w:rPr>
            <w:noProof/>
            <w:webHidden/>
          </w:rPr>
          <w:tab/>
        </w:r>
        <w:r>
          <w:rPr>
            <w:noProof/>
            <w:webHidden/>
          </w:rPr>
          <w:fldChar w:fldCharType="begin"/>
        </w:r>
        <w:r>
          <w:rPr>
            <w:noProof/>
            <w:webHidden/>
          </w:rPr>
          <w:instrText xml:space="preserve"> PAGEREF _Toc326741517 \h </w:instrText>
        </w:r>
        <w:r>
          <w:rPr>
            <w:noProof/>
            <w:webHidden/>
          </w:rPr>
        </w:r>
        <w:r>
          <w:rPr>
            <w:noProof/>
            <w:webHidden/>
          </w:rPr>
          <w:fldChar w:fldCharType="separate"/>
        </w:r>
        <w:r>
          <w:rPr>
            <w:noProof/>
            <w:webHidden/>
          </w:rPr>
          <w:t>41</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18" w:history="1">
        <w:r w:rsidRPr="00425354">
          <w:rPr>
            <w:rStyle w:val="Hypertextovodkaz"/>
            <w:rFonts w:eastAsiaTheme="majorEastAsia"/>
            <w:noProof/>
          </w:rPr>
          <w:t>2.3.3.3</w:t>
        </w:r>
        <w:r>
          <w:rPr>
            <w:rFonts w:asciiTheme="minorHAnsi" w:eastAsiaTheme="minorEastAsia" w:hAnsiTheme="minorHAnsi" w:cstheme="minorBidi"/>
            <w:noProof/>
            <w:sz w:val="22"/>
            <w:szCs w:val="22"/>
          </w:rPr>
          <w:tab/>
        </w:r>
        <w:r w:rsidRPr="00425354">
          <w:rPr>
            <w:rStyle w:val="Hypertextovodkaz"/>
            <w:rFonts w:eastAsiaTheme="majorEastAsia"/>
            <w:noProof/>
          </w:rPr>
          <w:t>Vodní doprava</w:t>
        </w:r>
        <w:r>
          <w:rPr>
            <w:noProof/>
            <w:webHidden/>
          </w:rPr>
          <w:tab/>
        </w:r>
        <w:r>
          <w:rPr>
            <w:noProof/>
            <w:webHidden/>
          </w:rPr>
          <w:fldChar w:fldCharType="begin"/>
        </w:r>
        <w:r>
          <w:rPr>
            <w:noProof/>
            <w:webHidden/>
          </w:rPr>
          <w:instrText xml:space="preserve"> PAGEREF _Toc326741518 \h </w:instrText>
        </w:r>
        <w:r>
          <w:rPr>
            <w:noProof/>
            <w:webHidden/>
          </w:rPr>
        </w:r>
        <w:r>
          <w:rPr>
            <w:noProof/>
            <w:webHidden/>
          </w:rPr>
          <w:fldChar w:fldCharType="separate"/>
        </w:r>
        <w:r>
          <w:rPr>
            <w:noProof/>
            <w:webHidden/>
          </w:rPr>
          <w:t>41</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19" w:history="1">
        <w:r w:rsidRPr="00425354">
          <w:rPr>
            <w:rStyle w:val="Hypertextovodkaz"/>
            <w:rFonts w:eastAsiaTheme="majorEastAsia"/>
            <w:noProof/>
          </w:rPr>
          <w:t>2.3.4</w:t>
        </w:r>
        <w:r>
          <w:rPr>
            <w:rFonts w:asciiTheme="minorHAnsi" w:eastAsiaTheme="minorEastAsia" w:hAnsiTheme="minorHAnsi" w:cstheme="minorBidi"/>
            <w:noProof/>
            <w:sz w:val="22"/>
            <w:szCs w:val="22"/>
          </w:rPr>
          <w:tab/>
        </w:r>
        <w:r w:rsidRPr="00425354">
          <w:rPr>
            <w:rStyle w:val="Hypertextovodkaz"/>
            <w:rFonts w:eastAsiaTheme="majorEastAsia"/>
            <w:noProof/>
          </w:rPr>
          <w:t>Shrnutí</w:t>
        </w:r>
        <w:r>
          <w:rPr>
            <w:noProof/>
            <w:webHidden/>
          </w:rPr>
          <w:tab/>
        </w:r>
        <w:r>
          <w:rPr>
            <w:noProof/>
            <w:webHidden/>
          </w:rPr>
          <w:fldChar w:fldCharType="begin"/>
        </w:r>
        <w:r>
          <w:rPr>
            <w:noProof/>
            <w:webHidden/>
          </w:rPr>
          <w:instrText xml:space="preserve"> PAGEREF _Toc326741519 \h </w:instrText>
        </w:r>
        <w:r>
          <w:rPr>
            <w:noProof/>
            <w:webHidden/>
          </w:rPr>
        </w:r>
        <w:r>
          <w:rPr>
            <w:noProof/>
            <w:webHidden/>
          </w:rPr>
          <w:fldChar w:fldCharType="separate"/>
        </w:r>
        <w:r>
          <w:rPr>
            <w:noProof/>
            <w:webHidden/>
          </w:rPr>
          <w:t>42</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520" w:history="1">
        <w:r w:rsidRPr="00425354">
          <w:rPr>
            <w:rStyle w:val="Hypertextovodkaz"/>
            <w:rFonts w:eastAsiaTheme="majorEastAsia"/>
            <w:noProof/>
          </w:rPr>
          <w:t>2.4</w:t>
        </w:r>
        <w:r>
          <w:rPr>
            <w:rFonts w:asciiTheme="minorHAnsi" w:eastAsiaTheme="minorEastAsia" w:hAnsiTheme="minorHAnsi" w:cstheme="minorBidi"/>
            <w:b w:val="0"/>
            <w:bCs w:val="0"/>
            <w:noProof/>
          </w:rPr>
          <w:tab/>
        </w:r>
        <w:r w:rsidRPr="00425354">
          <w:rPr>
            <w:rStyle w:val="Hypertextovodkaz"/>
            <w:rFonts w:eastAsiaTheme="majorEastAsia"/>
            <w:noProof/>
          </w:rPr>
          <w:t>Slovenská republika</w:t>
        </w:r>
        <w:r>
          <w:rPr>
            <w:noProof/>
            <w:webHidden/>
          </w:rPr>
          <w:tab/>
        </w:r>
        <w:r>
          <w:rPr>
            <w:noProof/>
            <w:webHidden/>
          </w:rPr>
          <w:fldChar w:fldCharType="begin"/>
        </w:r>
        <w:r>
          <w:rPr>
            <w:noProof/>
            <w:webHidden/>
          </w:rPr>
          <w:instrText xml:space="preserve"> PAGEREF _Toc326741520 \h </w:instrText>
        </w:r>
        <w:r>
          <w:rPr>
            <w:noProof/>
            <w:webHidden/>
          </w:rPr>
        </w:r>
        <w:r>
          <w:rPr>
            <w:noProof/>
            <w:webHidden/>
          </w:rPr>
          <w:fldChar w:fldCharType="separate"/>
        </w:r>
        <w:r>
          <w:rPr>
            <w:noProof/>
            <w:webHidden/>
          </w:rPr>
          <w:t>42</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21" w:history="1">
        <w:r w:rsidRPr="00425354">
          <w:rPr>
            <w:rStyle w:val="Hypertextovodkaz"/>
            <w:rFonts w:eastAsiaTheme="majorEastAsia"/>
            <w:noProof/>
          </w:rPr>
          <w:t>2.4.1</w:t>
        </w:r>
        <w:r>
          <w:rPr>
            <w:rFonts w:asciiTheme="minorHAnsi" w:eastAsiaTheme="minorEastAsia" w:hAnsiTheme="minorHAnsi" w:cstheme="minorBidi"/>
            <w:noProof/>
            <w:sz w:val="22"/>
            <w:szCs w:val="22"/>
          </w:rPr>
          <w:tab/>
        </w:r>
        <w:r w:rsidRPr="00425354">
          <w:rPr>
            <w:rStyle w:val="Hypertextovodkaz"/>
            <w:rFonts w:eastAsiaTheme="majorEastAsia"/>
            <w:noProof/>
          </w:rPr>
          <w:t>Legislativní rámec</w:t>
        </w:r>
        <w:r>
          <w:rPr>
            <w:noProof/>
            <w:webHidden/>
          </w:rPr>
          <w:tab/>
        </w:r>
        <w:r>
          <w:rPr>
            <w:noProof/>
            <w:webHidden/>
          </w:rPr>
          <w:fldChar w:fldCharType="begin"/>
        </w:r>
        <w:r>
          <w:rPr>
            <w:noProof/>
            <w:webHidden/>
          </w:rPr>
          <w:instrText xml:space="preserve"> PAGEREF _Toc326741521 \h </w:instrText>
        </w:r>
        <w:r>
          <w:rPr>
            <w:noProof/>
            <w:webHidden/>
          </w:rPr>
        </w:r>
        <w:r>
          <w:rPr>
            <w:noProof/>
            <w:webHidden/>
          </w:rPr>
          <w:fldChar w:fldCharType="separate"/>
        </w:r>
        <w:r>
          <w:rPr>
            <w:noProof/>
            <w:webHidden/>
          </w:rPr>
          <w:t>42</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22" w:history="1">
        <w:r w:rsidRPr="00425354">
          <w:rPr>
            <w:rStyle w:val="Hypertextovodkaz"/>
            <w:rFonts w:eastAsiaTheme="majorEastAsia"/>
            <w:noProof/>
          </w:rPr>
          <w:t>2.4.2</w:t>
        </w:r>
        <w:r>
          <w:rPr>
            <w:rFonts w:asciiTheme="minorHAnsi" w:eastAsiaTheme="minorEastAsia" w:hAnsiTheme="minorHAnsi" w:cstheme="minorBidi"/>
            <w:noProof/>
            <w:sz w:val="22"/>
            <w:szCs w:val="22"/>
          </w:rPr>
          <w:tab/>
        </w:r>
        <w:r w:rsidRPr="00425354">
          <w:rPr>
            <w:rStyle w:val="Hypertextovodkaz"/>
            <w:rFonts w:eastAsiaTheme="majorEastAsia"/>
            <w:noProof/>
          </w:rPr>
          <w:t>Aplikace ADR</w:t>
        </w:r>
        <w:r>
          <w:rPr>
            <w:noProof/>
            <w:webHidden/>
          </w:rPr>
          <w:tab/>
        </w:r>
        <w:r>
          <w:rPr>
            <w:noProof/>
            <w:webHidden/>
          </w:rPr>
          <w:fldChar w:fldCharType="begin"/>
        </w:r>
        <w:r>
          <w:rPr>
            <w:noProof/>
            <w:webHidden/>
          </w:rPr>
          <w:instrText xml:space="preserve"> PAGEREF _Toc326741522 \h </w:instrText>
        </w:r>
        <w:r>
          <w:rPr>
            <w:noProof/>
            <w:webHidden/>
          </w:rPr>
        </w:r>
        <w:r>
          <w:rPr>
            <w:noProof/>
            <w:webHidden/>
          </w:rPr>
          <w:fldChar w:fldCharType="separate"/>
        </w:r>
        <w:r>
          <w:rPr>
            <w:noProof/>
            <w:webHidden/>
          </w:rPr>
          <w:t>42</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23" w:history="1">
        <w:r w:rsidRPr="00425354">
          <w:rPr>
            <w:rStyle w:val="Hypertextovodkaz"/>
            <w:rFonts w:eastAsiaTheme="majorEastAsia"/>
            <w:noProof/>
          </w:rPr>
          <w:t>2.4.2.1</w:t>
        </w:r>
        <w:r>
          <w:rPr>
            <w:rFonts w:asciiTheme="minorHAnsi" w:eastAsiaTheme="minorEastAsia" w:hAnsiTheme="minorHAnsi" w:cstheme="minorBidi"/>
            <w:noProof/>
            <w:sz w:val="22"/>
            <w:szCs w:val="22"/>
          </w:rPr>
          <w:tab/>
        </w:r>
        <w:r w:rsidRPr="00425354">
          <w:rPr>
            <w:rStyle w:val="Hypertextovodkaz"/>
            <w:rFonts w:eastAsiaTheme="majorEastAsia"/>
            <w:noProof/>
          </w:rPr>
          <w:t>Silniční doprava</w:t>
        </w:r>
        <w:r>
          <w:rPr>
            <w:noProof/>
            <w:webHidden/>
          </w:rPr>
          <w:tab/>
        </w:r>
        <w:r>
          <w:rPr>
            <w:noProof/>
            <w:webHidden/>
          </w:rPr>
          <w:fldChar w:fldCharType="begin"/>
        </w:r>
        <w:r>
          <w:rPr>
            <w:noProof/>
            <w:webHidden/>
          </w:rPr>
          <w:instrText xml:space="preserve"> PAGEREF _Toc326741523 \h </w:instrText>
        </w:r>
        <w:r>
          <w:rPr>
            <w:noProof/>
            <w:webHidden/>
          </w:rPr>
        </w:r>
        <w:r>
          <w:rPr>
            <w:noProof/>
            <w:webHidden/>
          </w:rPr>
          <w:fldChar w:fldCharType="separate"/>
        </w:r>
        <w:r>
          <w:rPr>
            <w:noProof/>
            <w:webHidden/>
          </w:rPr>
          <w:t>42</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24" w:history="1">
        <w:r w:rsidRPr="00425354">
          <w:rPr>
            <w:rStyle w:val="Hypertextovodkaz"/>
            <w:rFonts w:eastAsiaTheme="majorEastAsia"/>
            <w:noProof/>
          </w:rPr>
          <w:t>2.4.3</w:t>
        </w:r>
        <w:r>
          <w:rPr>
            <w:rFonts w:asciiTheme="minorHAnsi" w:eastAsiaTheme="minorEastAsia" w:hAnsiTheme="minorHAnsi" w:cstheme="minorBidi"/>
            <w:noProof/>
            <w:sz w:val="22"/>
            <w:szCs w:val="22"/>
          </w:rPr>
          <w:tab/>
        </w:r>
        <w:r w:rsidRPr="00425354">
          <w:rPr>
            <w:rStyle w:val="Hypertextovodkaz"/>
            <w:rFonts w:eastAsiaTheme="majorEastAsia"/>
            <w:noProof/>
          </w:rPr>
          <w:t>Ostatní (národní) zákony a normy</w:t>
        </w:r>
        <w:r>
          <w:rPr>
            <w:noProof/>
            <w:webHidden/>
          </w:rPr>
          <w:tab/>
        </w:r>
        <w:r>
          <w:rPr>
            <w:noProof/>
            <w:webHidden/>
          </w:rPr>
          <w:fldChar w:fldCharType="begin"/>
        </w:r>
        <w:r>
          <w:rPr>
            <w:noProof/>
            <w:webHidden/>
          </w:rPr>
          <w:instrText xml:space="preserve"> PAGEREF _Toc326741524 \h </w:instrText>
        </w:r>
        <w:r>
          <w:rPr>
            <w:noProof/>
            <w:webHidden/>
          </w:rPr>
        </w:r>
        <w:r>
          <w:rPr>
            <w:noProof/>
            <w:webHidden/>
          </w:rPr>
          <w:fldChar w:fldCharType="separate"/>
        </w:r>
        <w:r>
          <w:rPr>
            <w:noProof/>
            <w:webHidden/>
          </w:rPr>
          <w:t>43</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25" w:history="1">
        <w:r w:rsidRPr="00425354">
          <w:rPr>
            <w:rStyle w:val="Hypertextovodkaz"/>
            <w:rFonts w:eastAsiaTheme="majorEastAsia"/>
            <w:noProof/>
          </w:rPr>
          <w:t>2.4.3.1</w:t>
        </w:r>
        <w:r>
          <w:rPr>
            <w:rFonts w:asciiTheme="minorHAnsi" w:eastAsiaTheme="minorEastAsia" w:hAnsiTheme="minorHAnsi" w:cstheme="minorBidi"/>
            <w:noProof/>
            <w:sz w:val="22"/>
            <w:szCs w:val="22"/>
          </w:rPr>
          <w:tab/>
        </w:r>
        <w:r w:rsidRPr="00425354">
          <w:rPr>
            <w:rStyle w:val="Hypertextovodkaz"/>
            <w:rFonts w:eastAsiaTheme="majorEastAsia"/>
            <w:noProof/>
          </w:rPr>
          <w:t>Železniční doprava</w:t>
        </w:r>
        <w:r>
          <w:rPr>
            <w:noProof/>
            <w:webHidden/>
          </w:rPr>
          <w:tab/>
        </w:r>
        <w:r>
          <w:rPr>
            <w:noProof/>
            <w:webHidden/>
          </w:rPr>
          <w:fldChar w:fldCharType="begin"/>
        </w:r>
        <w:r>
          <w:rPr>
            <w:noProof/>
            <w:webHidden/>
          </w:rPr>
          <w:instrText xml:space="preserve"> PAGEREF _Toc326741525 \h </w:instrText>
        </w:r>
        <w:r>
          <w:rPr>
            <w:noProof/>
            <w:webHidden/>
          </w:rPr>
        </w:r>
        <w:r>
          <w:rPr>
            <w:noProof/>
            <w:webHidden/>
          </w:rPr>
          <w:fldChar w:fldCharType="separate"/>
        </w:r>
        <w:r>
          <w:rPr>
            <w:noProof/>
            <w:webHidden/>
          </w:rPr>
          <w:t>43</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26" w:history="1">
        <w:r w:rsidRPr="00425354">
          <w:rPr>
            <w:rStyle w:val="Hypertextovodkaz"/>
            <w:noProof/>
          </w:rPr>
          <w:t>2.4.3.2</w:t>
        </w:r>
        <w:r>
          <w:rPr>
            <w:rFonts w:asciiTheme="minorHAnsi" w:eastAsiaTheme="minorEastAsia" w:hAnsiTheme="minorHAnsi" w:cstheme="minorBidi"/>
            <w:noProof/>
            <w:sz w:val="22"/>
            <w:szCs w:val="22"/>
          </w:rPr>
          <w:tab/>
        </w:r>
        <w:r w:rsidRPr="00425354">
          <w:rPr>
            <w:rStyle w:val="Hypertextovodkaz"/>
            <w:noProof/>
          </w:rPr>
          <w:t>Vnitrozemské vodní cesty</w:t>
        </w:r>
        <w:r>
          <w:rPr>
            <w:noProof/>
            <w:webHidden/>
          </w:rPr>
          <w:tab/>
        </w:r>
        <w:r>
          <w:rPr>
            <w:noProof/>
            <w:webHidden/>
          </w:rPr>
          <w:fldChar w:fldCharType="begin"/>
        </w:r>
        <w:r>
          <w:rPr>
            <w:noProof/>
            <w:webHidden/>
          </w:rPr>
          <w:instrText xml:space="preserve"> PAGEREF _Toc326741526 \h </w:instrText>
        </w:r>
        <w:r>
          <w:rPr>
            <w:noProof/>
            <w:webHidden/>
          </w:rPr>
        </w:r>
        <w:r>
          <w:rPr>
            <w:noProof/>
            <w:webHidden/>
          </w:rPr>
          <w:fldChar w:fldCharType="separate"/>
        </w:r>
        <w:r>
          <w:rPr>
            <w:noProof/>
            <w:webHidden/>
          </w:rPr>
          <w:t>44</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27" w:history="1">
        <w:r w:rsidRPr="00425354">
          <w:rPr>
            <w:rStyle w:val="Hypertextovodkaz"/>
            <w:noProof/>
          </w:rPr>
          <w:t>2.4.3.3</w:t>
        </w:r>
        <w:r>
          <w:rPr>
            <w:rFonts w:asciiTheme="minorHAnsi" w:eastAsiaTheme="minorEastAsia" w:hAnsiTheme="minorHAnsi" w:cstheme="minorBidi"/>
            <w:noProof/>
            <w:sz w:val="22"/>
            <w:szCs w:val="22"/>
          </w:rPr>
          <w:tab/>
        </w:r>
        <w:r w:rsidRPr="00425354">
          <w:rPr>
            <w:rStyle w:val="Hypertextovodkaz"/>
            <w:noProof/>
          </w:rPr>
          <w:t>Námořní plavba</w:t>
        </w:r>
        <w:r>
          <w:rPr>
            <w:noProof/>
            <w:webHidden/>
          </w:rPr>
          <w:tab/>
        </w:r>
        <w:r>
          <w:rPr>
            <w:noProof/>
            <w:webHidden/>
          </w:rPr>
          <w:fldChar w:fldCharType="begin"/>
        </w:r>
        <w:r>
          <w:rPr>
            <w:noProof/>
            <w:webHidden/>
          </w:rPr>
          <w:instrText xml:space="preserve"> PAGEREF _Toc326741527 \h </w:instrText>
        </w:r>
        <w:r>
          <w:rPr>
            <w:noProof/>
            <w:webHidden/>
          </w:rPr>
        </w:r>
        <w:r>
          <w:rPr>
            <w:noProof/>
            <w:webHidden/>
          </w:rPr>
          <w:fldChar w:fldCharType="separate"/>
        </w:r>
        <w:r>
          <w:rPr>
            <w:noProof/>
            <w:webHidden/>
          </w:rPr>
          <w:t>44</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28" w:history="1">
        <w:r w:rsidRPr="00425354">
          <w:rPr>
            <w:rStyle w:val="Hypertextovodkaz"/>
            <w:rFonts w:eastAsiaTheme="majorEastAsia"/>
            <w:noProof/>
          </w:rPr>
          <w:t>2.4.4</w:t>
        </w:r>
        <w:r>
          <w:rPr>
            <w:rFonts w:asciiTheme="minorHAnsi" w:eastAsiaTheme="minorEastAsia" w:hAnsiTheme="minorHAnsi" w:cstheme="minorBidi"/>
            <w:noProof/>
            <w:sz w:val="22"/>
            <w:szCs w:val="22"/>
          </w:rPr>
          <w:tab/>
        </w:r>
        <w:r w:rsidRPr="00425354">
          <w:rPr>
            <w:rStyle w:val="Hypertextovodkaz"/>
            <w:rFonts w:eastAsiaTheme="majorEastAsia"/>
            <w:noProof/>
          </w:rPr>
          <w:t>Postupy a aplikace systému</w:t>
        </w:r>
        <w:r>
          <w:rPr>
            <w:noProof/>
            <w:webHidden/>
          </w:rPr>
          <w:tab/>
        </w:r>
        <w:r>
          <w:rPr>
            <w:noProof/>
            <w:webHidden/>
          </w:rPr>
          <w:fldChar w:fldCharType="begin"/>
        </w:r>
        <w:r>
          <w:rPr>
            <w:noProof/>
            <w:webHidden/>
          </w:rPr>
          <w:instrText xml:space="preserve"> PAGEREF _Toc326741528 \h </w:instrText>
        </w:r>
        <w:r>
          <w:rPr>
            <w:noProof/>
            <w:webHidden/>
          </w:rPr>
        </w:r>
        <w:r>
          <w:rPr>
            <w:noProof/>
            <w:webHidden/>
          </w:rPr>
          <w:fldChar w:fldCharType="separate"/>
        </w:r>
        <w:r>
          <w:rPr>
            <w:noProof/>
            <w:webHidden/>
          </w:rPr>
          <w:t>44</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29" w:history="1">
        <w:r w:rsidRPr="00425354">
          <w:rPr>
            <w:rStyle w:val="Hypertextovodkaz"/>
            <w:rFonts w:eastAsiaTheme="majorEastAsia"/>
            <w:noProof/>
          </w:rPr>
          <w:t>2.4.5</w:t>
        </w:r>
        <w:r>
          <w:rPr>
            <w:rFonts w:asciiTheme="minorHAnsi" w:eastAsiaTheme="minorEastAsia" w:hAnsiTheme="minorHAnsi" w:cstheme="minorBidi"/>
            <w:noProof/>
            <w:sz w:val="22"/>
            <w:szCs w:val="22"/>
          </w:rPr>
          <w:tab/>
        </w:r>
        <w:r w:rsidRPr="00425354">
          <w:rPr>
            <w:rStyle w:val="Hypertextovodkaz"/>
            <w:rFonts w:eastAsiaTheme="majorEastAsia"/>
            <w:noProof/>
          </w:rPr>
          <w:t>Provozovatel aplikace</w:t>
        </w:r>
        <w:r>
          <w:rPr>
            <w:noProof/>
            <w:webHidden/>
          </w:rPr>
          <w:tab/>
        </w:r>
        <w:r>
          <w:rPr>
            <w:noProof/>
            <w:webHidden/>
          </w:rPr>
          <w:fldChar w:fldCharType="begin"/>
        </w:r>
        <w:r>
          <w:rPr>
            <w:noProof/>
            <w:webHidden/>
          </w:rPr>
          <w:instrText xml:space="preserve"> PAGEREF _Toc326741529 \h </w:instrText>
        </w:r>
        <w:r>
          <w:rPr>
            <w:noProof/>
            <w:webHidden/>
          </w:rPr>
        </w:r>
        <w:r>
          <w:rPr>
            <w:noProof/>
            <w:webHidden/>
          </w:rPr>
          <w:fldChar w:fldCharType="separate"/>
        </w:r>
        <w:r>
          <w:rPr>
            <w:noProof/>
            <w:webHidden/>
          </w:rPr>
          <w:t>45</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30" w:history="1">
        <w:r w:rsidRPr="00425354">
          <w:rPr>
            <w:rStyle w:val="Hypertextovodkaz"/>
            <w:rFonts w:eastAsiaTheme="majorEastAsia"/>
            <w:noProof/>
          </w:rPr>
          <w:t>2.4.6</w:t>
        </w:r>
        <w:r>
          <w:rPr>
            <w:rFonts w:asciiTheme="minorHAnsi" w:eastAsiaTheme="minorEastAsia" w:hAnsiTheme="minorHAnsi" w:cstheme="minorBidi"/>
            <w:noProof/>
            <w:sz w:val="22"/>
            <w:szCs w:val="22"/>
          </w:rPr>
          <w:tab/>
        </w:r>
        <w:r w:rsidRPr="00425354">
          <w:rPr>
            <w:rStyle w:val="Hypertextovodkaz"/>
            <w:rFonts w:eastAsiaTheme="majorEastAsia"/>
            <w:noProof/>
          </w:rPr>
          <w:t>Architektura systému, rozhraní</w:t>
        </w:r>
        <w:r>
          <w:rPr>
            <w:noProof/>
            <w:webHidden/>
          </w:rPr>
          <w:tab/>
        </w:r>
        <w:r>
          <w:rPr>
            <w:noProof/>
            <w:webHidden/>
          </w:rPr>
          <w:fldChar w:fldCharType="begin"/>
        </w:r>
        <w:r>
          <w:rPr>
            <w:noProof/>
            <w:webHidden/>
          </w:rPr>
          <w:instrText xml:space="preserve"> PAGEREF _Toc326741530 \h </w:instrText>
        </w:r>
        <w:r>
          <w:rPr>
            <w:noProof/>
            <w:webHidden/>
          </w:rPr>
        </w:r>
        <w:r>
          <w:rPr>
            <w:noProof/>
            <w:webHidden/>
          </w:rPr>
          <w:fldChar w:fldCharType="separate"/>
        </w:r>
        <w:r>
          <w:rPr>
            <w:noProof/>
            <w:webHidden/>
          </w:rPr>
          <w:t>45</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31" w:history="1">
        <w:r w:rsidRPr="00425354">
          <w:rPr>
            <w:rStyle w:val="Hypertextovodkaz"/>
            <w:rFonts w:eastAsiaTheme="majorEastAsia"/>
            <w:noProof/>
          </w:rPr>
          <w:t>2.4.7</w:t>
        </w:r>
        <w:r>
          <w:rPr>
            <w:rFonts w:asciiTheme="minorHAnsi" w:eastAsiaTheme="minorEastAsia" w:hAnsiTheme="minorHAnsi" w:cstheme="minorBidi"/>
            <w:noProof/>
            <w:sz w:val="22"/>
            <w:szCs w:val="22"/>
          </w:rPr>
          <w:tab/>
        </w:r>
        <w:r w:rsidRPr="00425354">
          <w:rPr>
            <w:rStyle w:val="Hypertextovodkaz"/>
            <w:rFonts w:eastAsiaTheme="majorEastAsia"/>
            <w:noProof/>
          </w:rPr>
          <w:t>HW, SW, operační systém a další IT požadavky</w:t>
        </w:r>
        <w:r>
          <w:rPr>
            <w:noProof/>
            <w:webHidden/>
          </w:rPr>
          <w:tab/>
        </w:r>
        <w:r>
          <w:rPr>
            <w:noProof/>
            <w:webHidden/>
          </w:rPr>
          <w:fldChar w:fldCharType="begin"/>
        </w:r>
        <w:r>
          <w:rPr>
            <w:noProof/>
            <w:webHidden/>
          </w:rPr>
          <w:instrText xml:space="preserve"> PAGEREF _Toc326741531 \h </w:instrText>
        </w:r>
        <w:r>
          <w:rPr>
            <w:noProof/>
            <w:webHidden/>
          </w:rPr>
        </w:r>
        <w:r>
          <w:rPr>
            <w:noProof/>
            <w:webHidden/>
          </w:rPr>
          <w:fldChar w:fldCharType="separate"/>
        </w:r>
        <w:r>
          <w:rPr>
            <w:noProof/>
            <w:webHidden/>
          </w:rPr>
          <w:t>47</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32" w:history="1">
        <w:r w:rsidRPr="00425354">
          <w:rPr>
            <w:rStyle w:val="Hypertextovodkaz"/>
            <w:rFonts w:eastAsiaTheme="majorEastAsia"/>
            <w:noProof/>
          </w:rPr>
          <w:t>2.4.8</w:t>
        </w:r>
        <w:r>
          <w:rPr>
            <w:rFonts w:asciiTheme="minorHAnsi" w:eastAsiaTheme="minorEastAsia" w:hAnsiTheme="minorHAnsi" w:cstheme="minorBidi"/>
            <w:noProof/>
            <w:sz w:val="22"/>
            <w:szCs w:val="22"/>
          </w:rPr>
          <w:tab/>
        </w:r>
        <w:r w:rsidRPr="00425354">
          <w:rPr>
            <w:rStyle w:val="Hypertextovodkaz"/>
            <w:rFonts w:eastAsiaTheme="majorEastAsia"/>
            <w:noProof/>
          </w:rPr>
          <w:t>Shrnutí</w:t>
        </w:r>
        <w:r>
          <w:rPr>
            <w:noProof/>
            <w:webHidden/>
          </w:rPr>
          <w:tab/>
        </w:r>
        <w:r>
          <w:rPr>
            <w:noProof/>
            <w:webHidden/>
          </w:rPr>
          <w:fldChar w:fldCharType="begin"/>
        </w:r>
        <w:r>
          <w:rPr>
            <w:noProof/>
            <w:webHidden/>
          </w:rPr>
          <w:instrText xml:space="preserve"> PAGEREF _Toc326741532 \h </w:instrText>
        </w:r>
        <w:r>
          <w:rPr>
            <w:noProof/>
            <w:webHidden/>
          </w:rPr>
        </w:r>
        <w:r>
          <w:rPr>
            <w:noProof/>
            <w:webHidden/>
          </w:rPr>
          <w:fldChar w:fldCharType="separate"/>
        </w:r>
        <w:r>
          <w:rPr>
            <w:noProof/>
            <w:webHidden/>
          </w:rPr>
          <w:t>48</w:t>
        </w:r>
        <w:r>
          <w:rPr>
            <w:noProof/>
            <w:webHidden/>
          </w:rPr>
          <w:fldChar w:fldCharType="end"/>
        </w:r>
      </w:hyperlink>
    </w:p>
    <w:p w:rsidR="007B5374" w:rsidRDefault="007B5374">
      <w:pPr>
        <w:pStyle w:val="Obsah1"/>
        <w:rPr>
          <w:rFonts w:asciiTheme="minorHAnsi" w:eastAsiaTheme="minorEastAsia" w:hAnsiTheme="minorHAnsi" w:cstheme="minorBidi"/>
          <w:b w:val="0"/>
          <w:bCs w:val="0"/>
          <w:i w:val="0"/>
          <w:iCs w:val="0"/>
          <w:noProof/>
          <w:sz w:val="22"/>
          <w:szCs w:val="22"/>
        </w:rPr>
      </w:pPr>
      <w:hyperlink w:anchor="_Toc326741533" w:history="1">
        <w:r w:rsidRPr="00425354">
          <w:rPr>
            <w:rStyle w:val="Hypertextovodkaz"/>
            <w:rFonts w:eastAsiaTheme="majorEastAsia" w:cstheme="majorBidi"/>
            <w:noProof/>
          </w:rPr>
          <w:t>3</w:t>
        </w:r>
        <w:r>
          <w:rPr>
            <w:rFonts w:asciiTheme="minorHAnsi" w:eastAsiaTheme="minorEastAsia" w:hAnsiTheme="minorHAnsi" w:cstheme="minorBidi"/>
            <w:b w:val="0"/>
            <w:bCs w:val="0"/>
            <w:i w:val="0"/>
            <w:iCs w:val="0"/>
            <w:noProof/>
            <w:sz w:val="22"/>
            <w:szCs w:val="22"/>
          </w:rPr>
          <w:tab/>
        </w:r>
        <w:r w:rsidRPr="00425354">
          <w:rPr>
            <w:rStyle w:val="Hypertextovodkaz"/>
            <w:rFonts w:eastAsiaTheme="majorEastAsia" w:cstheme="majorBidi"/>
            <w:noProof/>
          </w:rPr>
          <w:t>Analýza a popis systému – projekty v rámci Evropy</w:t>
        </w:r>
        <w:r>
          <w:rPr>
            <w:noProof/>
            <w:webHidden/>
          </w:rPr>
          <w:tab/>
        </w:r>
        <w:r>
          <w:rPr>
            <w:noProof/>
            <w:webHidden/>
          </w:rPr>
          <w:fldChar w:fldCharType="begin"/>
        </w:r>
        <w:r>
          <w:rPr>
            <w:noProof/>
            <w:webHidden/>
          </w:rPr>
          <w:instrText xml:space="preserve"> PAGEREF _Toc326741533 \h </w:instrText>
        </w:r>
        <w:r>
          <w:rPr>
            <w:noProof/>
            <w:webHidden/>
          </w:rPr>
        </w:r>
        <w:r>
          <w:rPr>
            <w:noProof/>
            <w:webHidden/>
          </w:rPr>
          <w:fldChar w:fldCharType="separate"/>
        </w:r>
        <w:r>
          <w:rPr>
            <w:noProof/>
            <w:webHidden/>
          </w:rPr>
          <w:t>4</w:t>
        </w:r>
        <w:r>
          <w:rPr>
            <w:noProof/>
            <w:webHidden/>
          </w:rPr>
          <w:t>9</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534" w:history="1">
        <w:r w:rsidRPr="00425354">
          <w:rPr>
            <w:rStyle w:val="Hypertextovodkaz"/>
            <w:rFonts w:eastAsiaTheme="majorEastAsia"/>
            <w:noProof/>
          </w:rPr>
          <w:t>3.1</w:t>
        </w:r>
        <w:r>
          <w:rPr>
            <w:rFonts w:asciiTheme="minorHAnsi" w:eastAsiaTheme="minorEastAsia" w:hAnsiTheme="minorHAnsi" w:cstheme="minorBidi"/>
            <w:b w:val="0"/>
            <w:bCs w:val="0"/>
            <w:noProof/>
          </w:rPr>
          <w:tab/>
        </w:r>
        <w:r w:rsidRPr="00425354">
          <w:rPr>
            <w:rStyle w:val="Hypertextovodkaz"/>
            <w:rFonts w:eastAsiaTheme="majorEastAsia"/>
            <w:noProof/>
          </w:rPr>
          <w:t>Legislativní rámec</w:t>
        </w:r>
        <w:r>
          <w:rPr>
            <w:noProof/>
            <w:webHidden/>
          </w:rPr>
          <w:tab/>
        </w:r>
        <w:r>
          <w:rPr>
            <w:noProof/>
            <w:webHidden/>
          </w:rPr>
          <w:fldChar w:fldCharType="begin"/>
        </w:r>
        <w:r>
          <w:rPr>
            <w:noProof/>
            <w:webHidden/>
          </w:rPr>
          <w:instrText xml:space="preserve"> PAGEREF _Toc326741534 \h </w:instrText>
        </w:r>
        <w:r>
          <w:rPr>
            <w:noProof/>
            <w:webHidden/>
          </w:rPr>
        </w:r>
        <w:r>
          <w:rPr>
            <w:noProof/>
            <w:webHidden/>
          </w:rPr>
          <w:fldChar w:fldCharType="separate"/>
        </w:r>
        <w:r>
          <w:rPr>
            <w:noProof/>
            <w:webHidden/>
          </w:rPr>
          <w:t>49</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535" w:history="1">
        <w:r w:rsidRPr="00425354">
          <w:rPr>
            <w:rStyle w:val="Hypertextovodkaz"/>
            <w:rFonts w:eastAsiaTheme="majorEastAsia"/>
            <w:noProof/>
          </w:rPr>
          <w:t>3.2</w:t>
        </w:r>
        <w:r>
          <w:rPr>
            <w:rFonts w:asciiTheme="minorHAnsi" w:eastAsiaTheme="minorEastAsia" w:hAnsiTheme="minorHAnsi" w:cstheme="minorBidi"/>
            <w:b w:val="0"/>
            <w:bCs w:val="0"/>
            <w:noProof/>
          </w:rPr>
          <w:tab/>
        </w:r>
        <w:r w:rsidRPr="00425354">
          <w:rPr>
            <w:rStyle w:val="Hypertextovodkaz"/>
            <w:rFonts w:eastAsiaTheme="majorEastAsia"/>
            <w:noProof/>
          </w:rPr>
          <w:t>Postupy a aplikace systému</w:t>
        </w:r>
        <w:r>
          <w:rPr>
            <w:noProof/>
            <w:webHidden/>
          </w:rPr>
          <w:tab/>
        </w:r>
        <w:r>
          <w:rPr>
            <w:noProof/>
            <w:webHidden/>
          </w:rPr>
          <w:fldChar w:fldCharType="begin"/>
        </w:r>
        <w:r>
          <w:rPr>
            <w:noProof/>
            <w:webHidden/>
          </w:rPr>
          <w:instrText xml:space="preserve"> PAGEREF _Toc326741535 \h </w:instrText>
        </w:r>
        <w:r>
          <w:rPr>
            <w:noProof/>
            <w:webHidden/>
          </w:rPr>
        </w:r>
        <w:r>
          <w:rPr>
            <w:noProof/>
            <w:webHidden/>
          </w:rPr>
          <w:fldChar w:fldCharType="separate"/>
        </w:r>
        <w:r>
          <w:rPr>
            <w:noProof/>
            <w:webHidden/>
          </w:rPr>
          <w:t>49</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36" w:history="1">
        <w:r w:rsidRPr="00425354">
          <w:rPr>
            <w:rStyle w:val="Hypertextovodkaz"/>
            <w:rFonts w:eastAsiaTheme="majorEastAsia"/>
            <w:noProof/>
          </w:rPr>
          <w:t>3.2.1</w:t>
        </w:r>
        <w:r>
          <w:rPr>
            <w:rFonts w:asciiTheme="minorHAnsi" w:eastAsiaTheme="minorEastAsia" w:hAnsiTheme="minorHAnsi" w:cstheme="minorBidi"/>
            <w:noProof/>
            <w:sz w:val="22"/>
            <w:szCs w:val="22"/>
          </w:rPr>
          <w:tab/>
        </w:r>
        <w:r w:rsidRPr="00425354">
          <w:rPr>
            <w:rStyle w:val="Hypertextovodkaz"/>
            <w:rFonts w:eastAsiaTheme="majorEastAsia"/>
            <w:noProof/>
          </w:rPr>
          <w:t>Systém MITRA</w:t>
        </w:r>
        <w:r>
          <w:rPr>
            <w:noProof/>
            <w:webHidden/>
          </w:rPr>
          <w:tab/>
        </w:r>
        <w:r>
          <w:rPr>
            <w:noProof/>
            <w:webHidden/>
          </w:rPr>
          <w:fldChar w:fldCharType="begin"/>
        </w:r>
        <w:r>
          <w:rPr>
            <w:noProof/>
            <w:webHidden/>
          </w:rPr>
          <w:instrText xml:space="preserve"> PAGEREF _Toc326741536 \h </w:instrText>
        </w:r>
        <w:r>
          <w:rPr>
            <w:noProof/>
            <w:webHidden/>
          </w:rPr>
        </w:r>
        <w:r>
          <w:rPr>
            <w:noProof/>
            <w:webHidden/>
          </w:rPr>
          <w:fldChar w:fldCharType="separate"/>
        </w:r>
        <w:r>
          <w:rPr>
            <w:noProof/>
            <w:webHidden/>
          </w:rPr>
          <w:t>49</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37" w:history="1">
        <w:r w:rsidRPr="00425354">
          <w:rPr>
            <w:rStyle w:val="Hypertextovodkaz"/>
            <w:rFonts w:eastAsiaTheme="majorEastAsia"/>
            <w:noProof/>
          </w:rPr>
          <w:t>3.2.1.1</w:t>
        </w:r>
        <w:r>
          <w:rPr>
            <w:rFonts w:asciiTheme="minorHAnsi" w:eastAsiaTheme="minorEastAsia" w:hAnsiTheme="minorHAnsi" w:cstheme="minorBidi"/>
            <w:noProof/>
            <w:sz w:val="22"/>
            <w:szCs w:val="22"/>
          </w:rPr>
          <w:tab/>
        </w:r>
        <w:r w:rsidRPr="00425354">
          <w:rPr>
            <w:rStyle w:val="Hypertextovodkaz"/>
            <w:rFonts w:eastAsiaTheme="majorEastAsia"/>
            <w:noProof/>
          </w:rPr>
          <w:t>Provozovatel aplikace</w:t>
        </w:r>
        <w:r>
          <w:rPr>
            <w:noProof/>
            <w:webHidden/>
          </w:rPr>
          <w:tab/>
        </w:r>
        <w:r>
          <w:rPr>
            <w:noProof/>
            <w:webHidden/>
          </w:rPr>
          <w:fldChar w:fldCharType="begin"/>
        </w:r>
        <w:r>
          <w:rPr>
            <w:noProof/>
            <w:webHidden/>
          </w:rPr>
          <w:instrText xml:space="preserve"> PAGEREF _Toc326741537 \h </w:instrText>
        </w:r>
        <w:r>
          <w:rPr>
            <w:noProof/>
            <w:webHidden/>
          </w:rPr>
        </w:r>
        <w:r>
          <w:rPr>
            <w:noProof/>
            <w:webHidden/>
          </w:rPr>
          <w:fldChar w:fldCharType="separate"/>
        </w:r>
        <w:r>
          <w:rPr>
            <w:noProof/>
            <w:webHidden/>
          </w:rPr>
          <w:t>49</w:t>
        </w:r>
        <w:r>
          <w:rPr>
            <w:noProof/>
            <w:webHidden/>
          </w:rPr>
          <w:fldChar w:fldCharType="end"/>
        </w:r>
      </w:hyperlink>
    </w:p>
    <w:p w:rsidR="007B5374" w:rsidRDefault="007B5374">
      <w:pPr>
        <w:pStyle w:val="Obsah4"/>
        <w:tabs>
          <w:tab w:val="left" w:pos="1921"/>
          <w:tab w:val="right" w:leader="dot" w:pos="9062"/>
        </w:tabs>
        <w:rPr>
          <w:rFonts w:asciiTheme="minorHAnsi" w:eastAsiaTheme="minorEastAsia" w:hAnsiTheme="minorHAnsi" w:cstheme="minorBidi"/>
          <w:noProof/>
          <w:sz w:val="22"/>
          <w:szCs w:val="22"/>
        </w:rPr>
      </w:pPr>
      <w:hyperlink w:anchor="_Toc326741538" w:history="1">
        <w:r w:rsidRPr="00425354">
          <w:rPr>
            <w:rStyle w:val="Hypertextovodkaz"/>
            <w:rFonts w:eastAsiaTheme="majorEastAsia"/>
            <w:noProof/>
          </w:rPr>
          <w:t>3.2.1.2</w:t>
        </w:r>
        <w:r>
          <w:rPr>
            <w:rFonts w:asciiTheme="minorHAnsi" w:eastAsiaTheme="minorEastAsia" w:hAnsiTheme="minorHAnsi" w:cstheme="minorBidi"/>
            <w:noProof/>
            <w:sz w:val="22"/>
            <w:szCs w:val="22"/>
          </w:rPr>
          <w:tab/>
        </w:r>
        <w:r w:rsidRPr="00425354">
          <w:rPr>
            <w:rStyle w:val="Hypertextovodkaz"/>
            <w:rFonts w:eastAsiaTheme="majorEastAsia"/>
            <w:noProof/>
          </w:rPr>
          <w:t>Architektura systému, rozhraní</w:t>
        </w:r>
        <w:r>
          <w:rPr>
            <w:noProof/>
            <w:webHidden/>
          </w:rPr>
          <w:tab/>
        </w:r>
        <w:r>
          <w:rPr>
            <w:noProof/>
            <w:webHidden/>
          </w:rPr>
          <w:fldChar w:fldCharType="begin"/>
        </w:r>
        <w:r>
          <w:rPr>
            <w:noProof/>
            <w:webHidden/>
          </w:rPr>
          <w:instrText xml:space="preserve"> PAGEREF _Toc326741538 \h </w:instrText>
        </w:r>
        <w:r>
          <w:rPr>
            <w:noProof/>
            <w:webHidden/>
          </w:rPr>
        </w:r>
        <w:r>
          <w:rPr>
            <w:noProof/>
            <w:webHidden/>
          </w:rPr>
          <w:fldChar w:fldCharType="separate"/>
        </w:r>
        <w:r>
          <w:rPr>
            <w:noProof/>
            <w:webHidden/>
          </w:rPr>
          <w:t>49</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39" w:history="1">
        <w:r w:rsidRPr="00425354">
          <w:rPr>
            <w:rStyle w:val="Hypertextovodkaz"/>
            <w:rFonts w:eastAsiaTheme="majorEastAsia"/>
            <w:noProof/>
          </w:rPr>
          <w:t>3.2.2</w:t>
        </w:r>
        <w:r>
          <w:rPr>
            <w:rFonts w:asciiTheme="minorHAnsi" w:eastAsiaTheme="minorEastAsia" w:hAnsiTheme="minorHAnsi" w:cstheme="minorBidi"/>
            <w:noProof/>
            <w:sz w:val="22"/>
            <w:szCs w:val="22"/>
          </w:rPr>
          <w:tab/>
        </w:r>
        <w:r w:rsidRPr="00425354">
          <w:rPr>
            <w:rStyle w:val="Hypertextovodkaz"/>
            <w:rFonts w:eastAsiaTheme="majorEastAsia"/>
            <w:noProof/>
          </w:rPr>
          <w:t>SCUTUM</w:t>
        </w:r>
        <w:r>
          <w:rPr>
            <w:noProof/>
            <w:webHidden/>
          </w:rPr>
          <w:tab/>
        </w:r>
        <w:r>
          <w:rPr>
            <w:noProof/>
            <w:webHidden/>
          </w:rPr>
          <w:fldChar w:fldCharType="begin"/>
        </w:r>
        <w:r>
          <w:rPr>
            <w:noProof/>
            <w:webHidden/>
          </w:rPr>
          <w:instrText xml:space="preserve"> PAGEREF _Toc326741539 \h </w:instrText>
        </w:r>
        <w:r>
          <w:rPr>
            <w:noProof/>
            <w:webHidden/>
          </w:rPr>
        </w:r>
        <w:r>
          <w:rPr>
            <w:noProof/>
            <w:webHidden/>
          </w:rPr>
          <w:fldChar w:fldCharType="separate"/>
        </w:r>
        <w:r>
          <w:rPr>
            <w:noProof/>
            <w:webHidden/>
          </w:rPr>
          <w:t>52</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0" w:history="1">
        <w:r w:rsidRPr="00425354">
          <w:rPr>
            <w:rStyle w:val="Hypertextovodkaz"/>
            <w:rFonts w:eastAsiaTheme="majorEastAsia"/>
            <w:noProof/>
          </w:rPr>
          <w:t>3.2.3</w:t>
        </w:r>
        <w:r>
          <w:rPr>
            <w:rFonts w:asciiTheme="minorHAnsi" w:eastAsiaTheme="minorEastAsia" w:hAnsiTheme="minorHAnsi" w:cstheme="minorBidi"/>
            <w:noProof/>
            <w:sz w:val="22"/>
            <w:szCs w:val="22"/>
          </w:rPr>
          <w:tab/>
        </w:r>
        <w:r w:rsidRPr="00425354">
          <w:rPr>
            <w:rStyle w:val="Hypertextovodkaz"/>
            <w:rFonts w:eastAsiaTheme="majorEastAsia"/>
            <w:noProof/>
          </w:rPr>
          <w:t>Alpy</w:t>
        </w:r>
        <w:r>
          <w:rPr>
            <w:noProof/>
            <w:webHidden/>
          </w:rPr>
          <w:tab/>
        </w:r>
        <w:r>
          <w:rPr>
            <w:noProof/>
            <w:webHidden/>
          </w:rPr>
          <w:fldChar w:fldCharType="begin"/>
        </w:r>
        <w:r>
          <w:rPr>
            <w:noProof/>
            <w:webHidden/>
          </w:rPr>
          <w:instrText xml:space="preserve"> PAGEREF _Toc326741540 \h </w:instrText>
        </w:r>
        <w:r>
          <w:rPr>
            <w:noProof/>
            <w:webHidden/>
          </w:rPr>
        </w:r>
        <w:r>
          <w:rPr>
            <w:noProof/>
            <w:webHidden/>
          </w:rPr>
          <w:fldChar w:fldCharType="separate"/>
        </w:r>
        <w:r>
          <w:rPr>
            <w:noProof/>
            <w:webHidden/>
          </w:rPr>
          <w:t>55</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1" w:history="1">
        <w:r w:rsidRPr="00425354">
          <w:rPr>
            <w:rStyle w:val="Hypertextovodkaz"/>
            <w:rFonts w:eastAsiaTheme="majorEastAsia"/>
            <w:noProof/>
          </w:rPr>
          <w:t>3.2.4</w:t>
        </w:r>
        <w:r>
          <w:rPr>
            <w:rFonts w:asciiTheme="minorHAnsi" w:eastAsiaTheme="minorEastAsia" w:hAnsiTheme="minorHAnsi" w:cstheme="minorBidi"/>
            <w:noProof/>
            <w:sz w:val="22"/>
            <w:szCs w:val="22"/>
          </w:rPr>
          <w:tab/>
        </w:r>
        <w:r w:rsidRPr="00425354">
          <w:rPr>
            <w:rStyle w:val="Hypertextovodkaz"/>
            <w:rFonts w:eastAsiaTheme="majorEastAsia"/>
            <w:noProof/>
          </w:rPr>
          <w:t>Shrnutí</w:t>
        </w:r>
        <w:r>
          <w:rPr>
            <w:noProof/>
            <w:webHidden/>
          </w:rPr>
          <w:tab/>
        </w:r>
        <w:r>
          <w:rPr>
            <w:noProof/>
            <w:webHidden/>
          </w:rPr>
          <w:fldChar w:fldCharType="begin"/>
        </w:r>
        <w:r>
          <w:rPr>
            <w:noProof/>
            <w:webHidden/>
          </w:rPr>
          <w:instrText xml:space="preserve"> PAGEREF _Toc326741541 \h </w:instrText>
        </w:r>
        <w:r>
          <w:rPr>
            <w:noProof/>
            <w:webHidden/>
          </w:rPr>
        </w:r>
        <w:r>
          <w:rPr>
            <w:noProof/>
            <w:webHidden/>
          </w:rPr>
          <w:fldChar w:fldCharType="separate"/>
        </w:r>
        <w:r>
          <w:rPr>
            <w:noProof/>
            <w:webHidden/>
          </w:rPr>
          <w:t>57</w:t>
        </w:r>
        <w:r>
          <w:rPr>
            <w:noProof/>
            <w:webHidden/>
          </w:rPr>
          <w:fldChar w:fldCharType="end"/>
        </w:r>
      </w:hyperlink>
    </w:p>
    <w:p w:rsidR="007B5374" w:rsidRDefault="007B5374">
      <w:pPr>
        <w:pStyle w:val="Obsah1"/>
        <w:rPr>
          <w:rFonts w:asciiTheme="minorHAnsi" w:eastAsiaTheme="minorEastAsia" w:hAnsiTheme="minorHAnsi" w:cstheme="minorBidi"/>
          <w:b w:val="0"/>
          <w:bCs w:val="0"/>
          <w:i w:val="0"/>
          <w:iCs w:val="0"/>
          <w:noProof/>
          <w:sz w:val="22"/>
          <w:szCs w:val="22"/>
        </w:rPr>
      </w:pPr>
      <w:hyperlink w:anchor="_Toc326741542" w:history="1">
        <w:r w:rsidRPr="00425354">
          <w:rPr>
            <w:rStyle w:val="Hypertextovodkaz"/>
            <w:rFonts w:eastAsiaTheme="majorEastAsia" w:cstheme="majorBidi"/>
            <w:noProof/>
          </w:rPr>
          <w:t>4</w:t>
        </w:r>
        <w:r>
          <w:rPr>
            <w:rFonts w:asciiTheme="minorHAnsi" w:eastAsiaTheme="minorEastAsia" w:hAnsiTheme="minorHAnsi" w:cstheme="minorBidi"/>
            <w:b w:val="0"/>
            <w:bCs w:val="0"/>
            <w:i w:val="0"/>
            <w:iCs w:val="0"/>
            <w:noProof/>
            <w:sz w:val="22"/>
            <w:szCs w:val="22"/>
          </w:rPr>
          <w:tab/>
        </w:r>
        <w:r w:rsidRPr="00425354">
          <w:rPr>
            <w:rStyle w:val="Hypertextovodkaz"/>
            <w:rFonts w:eastAsiaTheme="majorEastAsia" w:cstheme="majorBidi"/>
            <w:noProof/>
          </w:rPr>
          <w:t>Shrnutí studie</w:t>
        </w:r>
        <w:r>
          <w:rPr>
            <w:noProof/>
            <w:webHidden/>
          </w:rPr>
          <w:tab/>
        </w:r>
        <w:r>
          <w:rPr>
            <w:noProof/>
            <w:webHidden/>
          </w:rPr>
          <w:fldChar w:fldCharType="begin"/>
        </w:r>
        <w:r>
          <w:rPr>
            <w:noProof/>
            <w:webHidden/>
          </w:rPr>
          <w:instrText xml:space="preserve"> PAGEREF _Toc326741542 \h </w:instrText>
        </w:r>
        <w:r>
          <w:rPr>
            <w:noProof/>
            <w:webHidden/>
          </w:rPr>
        </w:r>
        <w:r>
          <w:rPr>
            <w:noProof/>
            <w:webHidden/>
          </w:rPr>
          <w:fldChar w:fldCharType="separate"/>
        </w:r>
        <w:r>
          <w:rPr>
            <w:noProof/>
            <w:webHidden/>
          </w:rPr>
          <w:t>58</w:t>
        </w:r>
        <w:r>
          <w:rPr>
            <w:noProof/>
            <w:webHidden/>
          </w:rPr>
          <w:fldChar w:fldCharType="end"/>
        </w:r>
      </w:hyperlink>
    </w:p>
    <w:p w:rsidR="007B5374" w:rsidRDefault="007B5374">
      <w:pPr>
        <w:pStyle w:val="Obsah2"/>
        <w:rPr>
          <w:rFonts w:asciiTheme="minorHAnsi" w:eastAsiaTheme="minorEastAsia" w:hAnsiTheme="minorHAnsi" w:cstheme="minorBidi"/>
          <w:b w:val="0"/>
          <w:bCs w:val="0"/>
          <w:noProof/>
        </w:rPr>
      </w:pPr>
      <w:hyperlink w:anchor="_Toc326741543" w:history="1">
        <w:r w:rsidRPr="00425354">
          <w:rPr>
            <w:rStyle w:val="Hypertextovodkaz"/>
            <w:rFonts w:eastAsiaTheme="majorEastAsia"/>
            <w:noProof/>
          </w:rPr>
          <w:t>4.1</w:t>
        </w:r>
        <w:r>
          <w:rPr>
            <w:rFonts w:asciiTheme="minorHAnsi" w:eastAsiaTheme="minorEastAsia" w:hAnsiTheme="minorHAnsi" w:cstheme="minorBidi"/>
            <w:b w:val="0"/>
            <w:bCs w:val="0"/>
            <w:noProof/>
          </w:rPr>
          <w:tab/>
        </w:r>
        <w:r w:rsidRPr="00425354">
          <w:rPr>
            <w:rStyle w:val="Hypertextovodkaz"/>
            <w:rFonts w:eastAsiaTheme="majorEastAsia"/>
            <w:noProof/>
          </w:rPr>
          <w:t>Grafické shrnutí</w:t>
        </w:r>
        <w:r>
          <w:rPr>
            <w:noProof/>
            <w:webHidden/>
          </w:rPr>
          <w:tab/>
        </w:r>
        <w:r>
          <w:rPr>
            <w:noProof/>
            <w:webHidden/>
          </w:rPr>
          <w:fldChar w:fldCharType="begin"/>
        </w:r>
        <w:r>
          <w:rPr>
            <w:noProof/>
            <w:webHidden/>
          </w:rPr>
          <w:instrText xml:space="preserve"> PAGEREF _Toc326741543 \h </w:instrText>
        </w:r>
        <w:r>
          <w:rPr>
            <w:noProof/>
            <w:webHidden/>
          </w:rPr>
        </w:r>
        <w:r>
          <w:rPr>
            <w:noProof/>
            <w:webHidden/>
          </w:rPr>
          <w:fldChar w:fldCharType="separate"/>
        </w:r>
        <w:r>
          <w:rPr>
            <w:noProof/>
            <w:webHidden/>
          </w:rPr>
          <w:t>61</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4" w:history="1">
        <w:r w:rsidRPr="00425354">
          <w:rPr>
            <w:rStyle w:val="Hypertextovodkaz"/>
            <w:rFonts w:eastAsiaTheme="majorEastAsia"/>
            <w:noProof/>
          </w:rPr>
          <w:t>4.1.1</w:t>
        </w:r>
        <w:r>
          <w:rPr>
            <w:rFonts w:asciiTheme="minorHAnsi" w:eastAsiaTheme="minorEastAsia" w:hAnsiTheme="minorHAnsi" w:cstheme="minorBidi"/>
            <w:noProof/>
            <w:sz w:val="22"/>
            <w:szCs w:val="22"/>
          </w:rPr>
          <w:tab/>
        </w:r>
        <w:r w:rsidRPr="00425354">
          <w:rPr>
            <w:rStyle w:val="Hypertextovodkaz"/>
            <w:rFonts w:eastAsiaTheme="majorEastAsia"/>
            <w:noProof/>
          </w:rPr>
          <w:t>Spolková republika Německo</w:t>
        </w:r>
        <w:r>
          <w:rPr>
            <w:noProof/>
            <w:webHidden/>
          </w:rPr>
          <w:tab/>
        </w:r>
        <w:r>
          <w:rPr>
            <w:noProof/>
            <w:webHidden/>
          </w:rPr>
          <w:fldChar w:fldCharType="begin"/>
        </w:r>
        <w:r>
          <w:rPr>
            <w:noProof/>
            <w:webHidden/>
          </w:rPr>
          <w:instrText xml:space="preserve"> PAGEREF _Toc326741544 \h </w:instrText>
        </w:r>
        <w:r>
          <w:rPr>
            <w:noProof/>
            <w:webHidden/>
          </w:rPr>
        </w:r>
        <w:r>
          <w:rPr>
            <w:noProof/>
            <w:webHidden/>
          </w:rPr>
          <w:fldChar w:fldCharType="separate"/>
        </w:r>
        <w:r>
          <w:rPr>
            <w:noProof/>
            <w:webHidden/>
          </w:rPr>
          <w:t>61</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5" w:history="1">
        <w:r w:rsidRPr="00425354">
          <w:rPr>
            <w:rStyle w:val="Hypertextovodkaz"/>
            <w:rFonts w:eastAsiaTheme="majorEastAsia"/>
            <w:noProof/>
          </w:rPr>
          <w:t>4.1.2</w:t>
        </w:r>
        <w:r>
          <w:rPr>
            <w:rFonts w:asciiTheme="minorHAnsi" w:eastAsiaTheme="minorEastAsia" w:hAnsiTheme="minorHAnsi" w:cstheme="minorBidi"/>
            <w:noProof/>
            <w:sz w:val="22"/>
            <w:szCs w:val="22"/>
          </w:rPr>
          <w:tab/>
        </w:r>
        <w:r w:rsidRPr="00425354">
          <w:rPr>
            <w:rStyle w:val="Hypertextovodkaz"/>
            <w:rFonts w:eastAsiaTheme="majorEastAsia"/>
            <w:noProof/>
          </w:rPr>
          <w:t>Republika Rakousko</w:t>
        </w:r>
        <w:r>
          <w:rPr>
            <w:noProof/>
            <w:webHidden/>
          </w:rPr>
          <w:tab/>
        </w:r>
        <w:r>
          <w:rPr>
            <w:noProof/>
            <w:webHidden/>
          </w:rPr>
          <w:fldChar w:fldCharType="begin"/>
        </w:r>
        <w:r>
          <w:rPr>
            <w:noProof/>
            <w:webHidden/>
          </w:rPr>
          <w:instrText xml:space="preserve"> PAGEREF _Toc326741545 \h </w:instrText>
        </w:r>
        <w:r>
          <w:rPr>
            <w:noProof/>
            <w:webHidden/>
          </w:rPr>
        </w:r>
        <w:r>
          <w:rPr>
            <w:noProof/>
            <w:webHidden/>
          </w:rPr>
          <w:fldChar w:fldCharType="separate"/>
        </w:r>
        <w:r>
          <w:rPr>
            <w:noProof/>
            <w:webHidden/>
          </w:rPr>
          <w:t>63</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6" w:history="1">
        <w:r w:rsidRPr="00425354">
          <w:rPr>
            <w:rStyle w:val="Hypertextovodkaz"/>
            <w:rFonts w:eastAsiaTheme="majorEastAsia"/>
            <w:noProof/>
          </w:rPr>
          <w:t>4.1.3</w:t>
        </w:r>
        <w:r>
          <w:rPr>
            <w:rFonts w:asciiTheme="minorHAnsi" w:eastAsiaTheme="minorEastAsia" w:hAnsiTheme="minorHAnsi" w:cstheme="minorBidi"/>
            <w:noProof/>
            <w:sz w:val="22"/>
            <w:szCs w:val="22"/>
          </w:rPr>
          <w:tab/>
        </w:r>
        <w:r w:rsidRPr="00425354">
          <w:rPr>
            <w:rStyle w:val="Hypertextovodkaz"/>
            <w:rFonts w:eastAsiaTheme="majorEastAsia"/>
            <w:noProof/>
          </w:rPr>
          <w:t>Polská republika</w:t>
        </w:r>
        <w:r>
          <w:rPr>
            <w:noProof/>
            <w:webHidden/>
          </w:rPr>
          <w:tab/>
        </w:r>
        <w:r>
          <w:rPr>
            <w:noProof/>
            <w:webHidden/>
          </w:rPr>
          <w:fldChar w:fldCharType="begin"/>
        </w:r>
        <w:r>
          <w:rPr>
            <w:noProof/>
            <w:webHidden/>
          </w:rPr>
          <w:instrText xml:space="preserve"> PAGEREF _Toc326741546 \h </w:instrText>
        </w:r>
        <w:r>
          <w:rPr>
            <w:noProof/>
            <w:webHidden/>
          </w:rPr>
        </w:r>
        <w:r>
          <w:rPr>
            <w:noProof/>
            <w:webHidden/>
          </w:rPr>
          <w:fldChar w:fldCharType="separate"/>
        </w:r>
        <w:r>
          <w:rPr>
            <w:noProof/>
            <w:webHidden/>
          </w:rPr>
          <w:t>64</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7" w:history="1">
        <w:r w:rsidRPr="00425354">
          <w:rPr>
            <w:rStyle w:val="Hypertextovodkaz"/>
            <w:rFonts w:eastAsiaTheme="majorEastAsia"/>
            <w:noProof/>
          </w:rPr>
          <w:t>4.1.4</w:t>
        </w:r>
        <w:r>
          <w:rPr>
            <w:rFonts w:asciiTheme="minorHAnsi" w:eastAsiaTheme="minorEastAsia" w:hAnsiTheme="minorHAnsi" w:cstheme="minorBidi"/>
            <w:noProof/>
            <w:sz w:val="22"/>
            <w:szCs w:val="22"/>
          </w:rPr>
          <w:tab/>
        </w:r>
        <w:r w:rsidRPr="00425354">
          <w:rPr>
            <w:rStyle w:val="Hypertextovodkaz"/>
            <w:rFonts w:eastAsiaTheme="majorEastAsia"/>
            <w:noProof/>
          </w:rPr>
          <w:t>Slovenská republika</w:t>
        </w:r>
        <w:r>
          <w:rPr>
            <w:noProof/>
            <w:webHidden/>
          </w:rPr>
          <w:tab/>
        </w:r>
        <w:r>
          <w:rPr>
            <w:noProof/>
            <w:webHidden/>
          </w:rPr>
          <w:fldChar w:fldCharType="begin"/>
        </w:r>
        <w:r>
          <w:rPr>
            <w:noProof/>
            <w:webHidden/>
          </w:rPr>
          <w:instrText xml:space="preserve"> PAGEREF _Toc326741547 \h </w:instrText>
        </w:r>
        <w:r>
          <w:rPr>
            <w:noProof/>
            <w:webHidden/>
          </w:rPr>
        </w:r>
        <w:r>
          <w:rPr>
            <w:noProof/>
            <w:webHidden/>
          </w:rPr>
          <w:fldChar w:fldCharType="separate"/>
        </w:r>
        <w:r>
          <w:rPr>
            <w:noProof/>
            <w:webHidden/>
          </w:rPr>
          <w:t>66</w:t>
        </w:r>
        <w:r>
          <w:rPr>
            <w:noProof/>
            <w:webHidden/>
          </w:rPr>
          <w:fldChar w:fldCharType="end"/>
        </w:r>
      </w:hyperlink>
    </w:p>
    <w:p w:rsidR="007B5374" w:rsidRDefault="007B5374">
      <w:pPr>
        <w:pStyle w:val="Obsah3"/>
        <w:tabs>
          <w:tab w:val="left" w:pos="1680"/>
          <w:tab w:val="right" w:leader="dot" w:pos="9062"/>
        </w:tabs>
        <w:rPr>
          <w:rFonts w:asciiTheme="minorHAnsi" w:eastAsiaTheme="minorEastAsia" w:hAnsiTheme="minorHAnsi" w:cstheme="minorBidi"/>
          <w:noProof/>
          <w:sz w:val="22"/>
          <w:szCs w:val="22"/>
        </w:rPr>
      </w:pPr>
      <w:hyperlink w:anchor="_Toc326741548" w:history="1">
        <w:r w:rsidRPr="00425354">
          <w:rPr>
            <w:rStyle w:val="Hypertextovodkaz"/>
            <w:rFonts w:eastAsiaTheme="majorEastAsia"/>
            <w:noProof/>
          </w:rPr>
          <w:t>4.1.5</w:t>
        </w:r>
        <w:r>
          <w:rPr>
            <w:rFonts w:asciiTheme="minorHAnsi" w:eastAsiaTheme="minorEastAsia" w:hAnsiTheme="minorHAnsi" w:cstheme="minorBidi"/>
            <w:noProof/>
            <w:sz w:val="22"/>
            <w:szCs w:val="22"/>
          </w:rPr>
          <w:tab/>
        </w:r>
        <w:r w:rsidRPr="00425354">
          <w:rPr>
            <w:rStyle w:val="Hypertextovodkaz"/>
            <w:rFonts w:eastAsiaTheme="majorEastAsia"/>
            <w:noProof/>
          </w:rPr>
          <w:t>Celkové porovnání</w:t>
        </w:r>
        <w:r>
          <w:rPr>
            <w:noProof/>
            <w:webHidden/>
          </w:rPr>
          <w:tab/>
        </w:r>
        <w:r>
          <w:rPr>
            <w:noProof/>
            <w:webHidden/>
          </w:rPr>
          <w:fldChar w:fldCharType="begin"/>
        </w:r>
        <w:r>
          <w:rPr>
            <w:noProof/>
            <w:webHidden/>
          </w:rPr>
          <w:instrText xml:space="preserve"> PAGEREF _Toc326741548 \h </w:instrText>
        </w:r>
        <w:r>
          <w:rPr>
            <w:noProof/>
            <w:webHidden/>
          </w:rPr>
        </w:r>
        <w:r>
          <w:rPr>
            <w:noProof/>
            <w:webHidden/>
          </w:rPr>
          <w:fldChar w:fldCharType="separate"/>
        </w:r>
        <w:r>
          <w:rPr>
            <w:noProof/>
            <w:webHidden/>
          </w:rPr>
          <w:t>67</w:t>
        </w:r>
        <w:r>
          <w:rPr>
            <w:noProof/>
            <w:webHidden/>
          </w:rPr>
          <w:fldChar w:fldCharType="end"/>
        </w:r>
      </w:hyperlink>
    </w:p>
    <w:p w:rsidR="00E05C94" w:rsidRDefault="00107CBA" w:rsidP="008449E8">
      <w:pPr>
        <w:sectPr w:rsidR="00E05C94" w:rsidSect="00812C08">
          <w:headerReference w:type="default" r:id="rId9"/>
          <w:footerReference w:type="default" r:id="rId10"/>
          <w:type w:val="continuous"/>
          <w:pgSz w:w="11906" w:h="16838"/>
          <w:pgMar w:top="1417" w:right="1417" w:bottom="1417" w:left="1417" w:header="708" w:footer="708" w:gutter="0"/>
          <w:pgNumType w:start="1" w:chapStyle="1"/>
          <w:cols w:space="708"/>
          <w:docGrid w:linePitch="360"/>
        </w:sectPr>
      </w:pPr>
      <w:r>
        <w:fldChar w:fldCharType="end"/>
      </w:r>
    </w:p>
    <w:p w:rsidR="00812C08" w:rsidRDefault="00812C08" w:rsidP="008449E8">
      <w:pPr>
        <w:sectPr w:rsidR="00812C08" w:rsidSect="00E05C94">
          <w:footerReference w:type="default" r:id="rId11"/>
          <w:type w:val="continuous"/>
          <w:pgSz w:w="11906" w:h="16838"/>
          <w:pgMar w:top="1417" w:right="1417" w:bottom="1417" w:left="1417" w:header="708" w:footer="708" w:gutter="0"/>
          <w:pgNumType w:start="1" w:chapStyle="1"/>
          <w:cols w:space="708"/>
          <w:docGrid w:linePitch="360"/>
        </w:sectPr>
      </w:pPr>
    </w:p>
    <w:p w:rsidR="008317A1" w:rsidRDefault="008317A1" w:rsidP="008317A1">
      <w:pPr>
        <w:pStyle w:val="Nadpis1"/>
        <w:rPr>
          <w:rFonts w:eastAsiaTheme="majorEastAsia" w:cstheme="majorBidi"/>
          <w:bCs w:val="0"/>
          <w:szCs w:val="26"/>
        </w:rPr>
      </w:pPr>
      <w:bookmarkStart w:id="0" w:name="_Toc326741482"/>
      <w:r>
        <w:rPr>
          <w:rFonts w:eastAsiaTheme="majorEastAsia" w:cstheme="majorBidi"/>
          <w:bCs w:val="0"/>
          <w:szCs w:val="26"/>
        </w:rPr>
        <w:lastRenderedPageBreak/>
        <w:t>Ú</w:t>
      </w:r>
      <w:r w:rsidRPr="008317A1">
        <w:rPr>
          <w:rFonts w:eastAsiaTheme="majorEastAsia" w:cstheme="majorBidi"/>
          <w:bCs w:val="0"/>
          <w:szCs w:val="26"/>
        </w:rPr>
        <w:t>vod</w:t>
      </w:r>
      <w:r>
        <w:rPr>
          <w:rFonts w:eastAsiaTheme="majorEastAsia" w:cstheme="majorBidi"/>
          <w:bCs w:val="0"/>
          <w:szCs w:val="26"/>
        </w:rPr>
        <w:t xml:space="preserve"> do problematiky přepravy </w:t>
      </w:r>
      <w:r w:rsidRPr="008317A1">
        <w:rPr>
          <w:rFonts w:eastAsiaTheme="majorEastAsia" w:cstheme="majorBidi"/>
          <w:bCs w:val="0"/>
          <w:szCs w:val="26"/>
        </w:rPr>
        <w:t>monitorování a řízení přepravy nebezpečných věcí v zemích EU</w:t>
      </w:r>
      <w:bookmarkEnd w:id="0"/>
    </w:p>
    <w:p w:rsidR="00286E18" w:rsidRDefault="0012043A" w:rsidP="00774793">
      <w:pPr>
        <w:spacing w:before="240"/>
        <w:ind w:firstLine="284"/>
        <w:rPr>
          <w:rFonts w:eastAsiaTheme="majorEastAsia"/>
        </w:rPr>
      </w:pPr>
      <w:r>
        <w:rPr>
          <w:rFonts w:eastAsiaTheme="majorEastAsia"/>
        </w:rPr>
        <w:t xml:space="preserve">Cílem této studie bylo zjištění a shrnutí informací v otázce sledování nebezpečných nákladů během přepravy. </w:t>
      </w:r>
      <w:r w:rsidR="00346FEC">
        <w:rPr>
          <w:rFonts w:eastAsiaTheme="majorEastAsia"/>
        </w:rPr>
        <w:t xml:space="preserve">První etapou bylo nalezení veřejně dostupné dokumentace existujících systémů. </w:t>
      </w:r>
      <w:r w:rsidR="00A31F82">
        <w:rPr>
          <w:rFonts w:eastAsiaTheme="majorEastAsia"/>
        </w:rPr>
        <w:t xml:space="preserve">Většinu v současnosti provozovaných systémů tvoří komerční projekty, jejichž dokumentace je firemním tajemstvím daného provozovatele. </w:t>
      </w:r>
      <w:r w:rsidR="004E7897">
        <w:rPr>
          <w:rFonts w:eastAsiaTheme="majorEastAsia"/>
        </w:rPr>
        <w:t xml:space="preserve">Z tohoto důvodu se ve veřejně dostupných zdrojích vyskytují pouze obecné informace bez podrobnějších specifikací </w:t>
      </w:r>
      <w:r w:rsidR="00286E18">
        <w:rPr>
          <w:rFonts w:eastAsiaTheme="majorEastAsia"/>
        </w:rPr>
        <w:t>(</w:t>
      </w:r>
      <w:r w:rsidR="004E7897">
        <w:rPr>
          <w:rFonts w:eastAsiaTheme="majorEastAsia"/>
        </w:rPr>
        <w:t xml:space="preserve">jako je architektura systému, používaný software či technické </w:t>
      </w:r>
      <w:r w:rsidR="00DD02D8">
        <w:rPr>
          <w:rFonts w:eastAsiaTheme="majorEastAsia"/>
        </w:rPr>
        <w:t>parametry</w:t>
      </w:r>
      <w:r w:rsidR="00286E18">
        <w:rPr>
          <w:rFonts w:eastAsiaTheme="majorEastAsia"/>
        </w:rPr>
        <w:t xml:space="preserve">). </w:t>
      </w:r>
    </w:p>
    <w:p w:rsidR="0055391D" w:rsidRDefault="00286E18" w:rsidP="00774793">
      <w:pPr>
        <w:ind w:firstLine="284"/>
        <w:rPr>
          <w:rFonts w:eastAsiaTheme="majorEastAsia"/>
        </w:rPr>
      </w:pPr>
      <w:r>
        <w:rPr>
          <w:rFonts w:eastAsiaTheme="majorEastAsia"/>
        </w:rPr>
        <w:t>Nejvíce dostupných informací bylo nalezeno v oblasti projektů realizovaných z veřejných prostředků (fondy EU). Bohužel jen malá část z těchto návrhů byla uskutečněna a uvedena do reálného provozu</w:t>
      </w:r>
      <w:r w:rsidR="00774793">
        <w:rPr>
          <w:rFonts w:eastAsiaTheme="majorEastAsia"/>
        </w:rPr>
        <w:t>, spíše se jednalo pouze o možné návrhy. Ty se po určitou dobu testoval</w:t>
      </w:r>
      <w:r w:rsidR="00C15EFB">
        <w:rPr>
          <w:rFonts w:eastAsiaTheme="majorEastAsia"/>
        </w:rPr>
        <w:t>y a poté se vyhodnotily</w:t>
      </w:r>
      <w:r w:rsidR="00774793">
        <w:rPr>
          <w:rFonts w:eastAsiaTheme="majorEastAsia"/>
        </w:rPr>
        <w:t xml:space="preserve"> závěry o možném nasazení do provozu a jejich využitelnosti.</w:t>
      </w:r>
      <w:r>
        <w:rPr>
          <w:rFonts w:eastAsiaTheme="majorEastAsia"/>
        </w:rPr>
        <w:t xml:space="preserve"> Většinou se jednalo pouze o zkušební provoz navrhovaných technologií. </w:t>
      </w:r>
    </w:p>
    <w:p w:rsidR="00AD1627" w:rsidRDefault="00AD1627" w:rsidP="00AD1627">
      <w:pPr>
        <w:ind w:firstLine="284"/>
        <w:rPr>
          <w:rFonts w:eastAsiaTheme="majorEastAsia"/>
        </w:rPr>
      </w:pPr>
      <w:r>
        <w:rPr>
          <w:rFonts w:eastAsiaTheme="majorEastAsia"/>
        </w:rPr>
        <w:t xml:space="preserve">Dále jsme se snažili získat podrobnější informace přímo od provozovatelů, resp. navrhovatelů systémů. Od části oslovených jsme nedostali žádnou odpověď, jiní nesouhlasili se zveřejněním případně poskytnutých materiálů. Takovéto informace pro nás neměly žádný přínos. </w:t>
      </w:r>
    </w:p>
    <w:p w:rsidR="00AD1627" w:rsidRDefault="00774793" w:rsidP="00774793">
      <w:pPr>
        <w:ind w:firstLine="284"/>
        <w:rPr>
          <w:rFonts w:eastAsiaTheme="majorEastAsia"/>
        </w:rPr>
      </w:pPr>
      <w:r>
        <w:rPr>
          <w:rFonts w:eastAsiaTheme="majorEastAsia"/>
        </w:rPr>
        <w:t>V rámci přehlednosti dané studie byl</w:t>
      </w:r>
      <w:r w:rsidR="00941B22">
        <w:rPr>
          <w:rFonts w:eastAsiaTheme="majorEastAsia"/>
        </w:rPr>
        <w:t>y</w:t>
      </w:r>
      <w:r>
        <w:rPr>
          <w:rFonts w:eastAsiaTheme="majorEastAsia"/>
        </w:rPr>
        <w:t xml:space="preserve"> přepravy nebezpečných </w:t>
      </w:r>
      <w:r w:rsidR="00727520">
        <w:rPr>
          <w:rFonts w:eastAsiaTheme="majorEastAsia"/>
        </w:rPr>
        <w:t>věcí</w:t>
      </w:r>
      <w:r>
        <w:rPr>
          <w:rFonts w:eastAsiaTheme="majorEastAsia"/>
        </w:rPr>
        <w:t xml:space="preserve"> rozděleny dle druhu dopravního prostředku. Tedy v rámci silniční, železniční a vodní </w:t>
      </w:r>
      <w:r w:rsidR="00941B22">
        <w:rPr>
          <w:rFonts w:eastAsiaTheme="majorEastAsia"/>
        </w:rPr>
        <w:t>přepravy nebezpečných materiálů</w:t>
      </w:r>
      <w:r>
        <w:rPr>
          <w:rFonts w:eastAsiaTheme="majorEastAsia"/>
        </w:rPr>
        <w:t xml:space="preserve"> byl</w:t>
      </w:r>
      <w:r w:rsidR="00941B22">
        <w:rPr>
          <w:rFonts w:eastAsiaTheme="majorEastAsia"/>
        </w:rPr>
        <w:t>y</w:t>
      </w:r>
      <w:r>
        <w:rPr>
          <w:rFonts w:eastAsiaTheme="majorEastAsia"/>
        </w:rPr>
        <w:t xml:space="preserve"> zpracovány informace realizovaných návrhů či možných budoucích systémů. </w:t>
      </w:r>
    </w:p>
    <w:p w:rsidR="00774793" w:rsidRDefault="00AD1627" w:rsidP="00774793">
      <w:pPr>
        <w:ind w:firstLine="284"/>
        <w:rPr>
          <w:rFonts w:eastAsiaTheme="majorEastAsia"/>
        </w:rPr>
      </w:pPr>
      <w:r>
        <w:rPr>
          <w:rFonts w:eastAsiaTheme="majorEastAsia"/>
        </w:rPr>
        <w:t>Některé projekty vznikaly v širším rámci Evropy. Nejednalo se tedy jen o sy</w:t>
      </w:r>
      <w:r w:rsidR="00C15EFB">
        <w:rPr>
          <w:rFonts w:eastAsiaTheme="majorEastAsia"/>
        </w:rPr>
        <w:t>stém na národní úrovni</w:t>
      </w:r>
      <w:r>
        <w:rPr>
          <w:rFonts w:eastAsiaTheme="majorEastAsia"/>
        </w:rPr>
        <w:t xml:space="preserve">, ale šlo o mezinárodní spolupráci. Některé z těchto konceptů jsou v současné době v provozu, pro jiné systémy je zpracována jen studie. Tyto systémy jsou uvedeny na konci studie, za přehledem jednotlivých států. </w:t>
      </w:r>
    </w:p>
    <w:p w:rsidR="00CF59E6" w:rsidRPr="00A91E03" w:rsidRDefault="00CF59E6" w:rsidP="00AD1627">
      <w:pPr>
        <w:ind w:firstLine="284"/>
        <w:rPr>
          <w:rFonts w:eastAsiaTheme="majorEastAsia"/>
        </w:rPr>
      </w:pPr>
      <w:r w:rsidRPr="00A91E03">
        <w:rPr>
          <w:rFonts w:eastAsiaTheme="majorEastAsia"/>
        </w:rPr>
        <w:t xml:space="preserve">Specifickým druhem nebezpečných materiálů jsou výbušniny a radioaktivní materiály. </w:t>
      </w:r>
    </w:p>
    <w:p w:rsidR="00805A67" w:rsidRPr="00071287" w:rsidRDefault="00805A67" w:rsidP="006733D9">
      <w:pPr>
        <w:pStyle w:val="Nadpis1"/>
        <w:rPr>
          <w:rFonts w:eastAsiaTheme="majorEastAsia" w:cstheme="majorBidi"/>
          <w:bCs w:val="0"/>
          <w:szCs w:val="26"/>
        </w:rPr>
      </w:pPr>
      <w:bookmarkStart w:id="1" w:name="_Toc326741483"/>
      <w:r w:rsidRPr="00071287">
        <w:rPr>
          <w:rFonts w:eastAsiaTheme="majorEastAsia" w:cstheme="majorBidi"/>
          <w:bCs w:val="0"/>
          <w:szCs w:val="26"/>
        </w:rPr>
        <w:lastRenderedPageBreak/>
        <w:t>Analýza a popis systému dle jednotlivých států</w:t>
      </w:r>
      <w:bookmarkEnd w:id="1"/>
    </w:p>
    <w:p w:rsidR="00805A67" w:rsidRPr="00071287" w:rsidRDefault="00805A67" w:rsidP="00805A67">
      <w:pPr>
        <w:pStyle w:val="Nadpis2"/>
        <w:rPr>
          <w:rFonts w:eastAsiaTheme="majorEastAsia"/>
          <w:sz w:val="30"/>
          <w:szCs w:val="30"/>
        </w:rPr>
      </w:pPr>
      <w:bookmarkStart w:id="2" w:name="_Toc326741484"/>
      <w:r w:rsidRPr="00071287">
        <w:rPr>
          <w:rFonts w:eastAsiaTheme="majorEastAsia"/>
          <w:sz w:val="30"/>
          <w:szCs w:val="30"/>
        </w:rPr>
        <w:t>Spolková republika Německo</w:t>
      </w:r>
      <w:bookmarkEnd w:id="2"/>
    </w:p>
    <w:p w:rsidR="00805A67" w:rsidRPr="00071287" w:rsidRDefault="00805A67" w:rsidP="00805A67">
      <w:pPr>
        <w:pStyle w:val="Nadpis3"/>
        <w:rPr>
          <w:rFonts w:ascii="Times New Roman" w:eastAsiaTheme="majorEastAsia" w:hAnsi="Times New Roman"/>
          <w:sz w:val="28"/>
        </w:rPr>
      </w:pPr>
      <w:bookmarkStart w:id="3" w:name="_Toc326741485"/>
      <w:r w:rsidRPr="00071287">
        <w:rPr>
          <w:rFonts w:ascii="Times New Roman" w:eastAsiaTheme="majorEastAsia" w:hAnsi="Times New Roman"/>
          <w:sz w:val="28"/>
        </w:rPr>
        <w:t>Legislativní rámec</w:t>
      </w:r>
      <w:bookmarkEnd w:id="3"/>
    </w:p>
    <w:p w:rsidR="00805A67" w:rsidRDefault="00805A67" w:rsidP="00376A18">
      <w:pPr>
        <w:pStyle w:val="Default"/>
        <w:spacing w:before="120"/>
        <w:ind w:firstLine="284"/>
        <w:jc w:val="both"/>
        <w:rPr>
          <w:rFonts w:ascii="Times New Roman" w:hAnsi="Times New Roman" w:cs="Times New Roman"/>
        </w:rPr>
      </w:pPr>
      <w:r>
        <w:rPr>
          <w:rFonts w:ascii="Times New Roman" w:hAnsi="Times New Roman" w:cs="Times New Roman"/>
        </w:rPr>
        <w:t xml:space="preserve">Stanovy OSN tvoří společný základ pro mezinárodní </w:t>
      </w:r>
      <w:r w:rsidRPr="00D43CC7">
        <w:rPr>
          <w:rFonts w:ascii="Times New Roman" w:hAnsi="Times New Roman" w:cs="Times New Roman"/>
          <w:color w:val="auto"/>
        </w:rPr>
        <w:t xml:space="preserve">a </w:t>
      </w:r>
      <w:r>
        <w:rPr>
          <w:rFonts w:ascii="Times New Roman" w:hAnsi="Times New Roman" w:cs="Times New Roman"/>
        </w:rPr>
        <w:t xml:space="preserve">národní předpisy a pro specifické předpisy pro přepravce. Modální předpisy zahrnují mimo jiné i podrobné pokyny pro klasifikaci nebezpečných věcí, požadavky na obaly, kontejnery, nádrže a vozidla, dokumentaci a označení, nakládku a vykládku nebezpečných věcí a odbornou znalost pracovníků. </w:t>
      </w:r>
    </w:p>
    <w:p w:rsidR="00805A67" w:rsidRPr="006A4C56" w:rsidRDefault="00805A67" w:rsidP="00376A18">
      <w:pPr>
        <w:pStyle w:val="Default"/>
        <w:spacing w:before="120"/>
        <w:ind w:firstLine="284"/>
        <w:jc w:val="both"/>
        <w:rPr>
          <w:rFonts w:ascii="Times New Roman" w:hAnsi="Times New Roman" w:cs="Times New Roman"/>
          <w:color w:val="auto"/>
        </w:rPr>
      </w:pPr>
      <w:r>
        <w:rPr>
          <w:rFonts w:ascii="Times New Roman" w:hAnsi="Times New Roman" w:cs="Times New Roman"/>
        </w:rPr>
        <w:t xml:space="preserve">V rámci nebezpečných věcí se na legislativě podílí několik zákonů. Nejprve je nutné poznamenat, že v Německu jsou nebezpečné látky rozdělené do 2 kategorií a k tomu jsou i příslušné zákonné opatření. První skupinou jsou tzv. </w:t>
      </w:r>
      <w:r w:rsidRPr="006A4C56">
        <w:rPr>
          <w:rFonts w:ascii="Times New Roman" w:hAnsi="Times New Roman" w:cs="Times New Roman"/>
          <w:color w:val="auto"/>
        </w:rPr>
        <w:t>Gefahrgut – látky, přípravky nebo předměty, obsahující látky, které mohou být vzhledem ke své povaze nebezpečné při přepravě a jsou jako nebezp</w:t>
      </w:r>
      <w:r>
        <w:rPr>
          <w:rFonts w:ascii="Times New Roman" w:hAnsi="Times New Roman" w:cs="Times New Roman"/>
          <w:color w:val="auto"/>
        </w:rPr>
        <w:t>ečné látky označeny zákonem.</w:t>
      </w:r>
      <w:r w:rsidRPr="006A4C56">
        <w:rPr>
          <w:rFonts w:ascii="Times New Roman" w:hAnsi="Times New Roman" w:cs="Times New Roman"/>
          <w:color w:val="auto"/>
        </w:rPr>
        <w:t xml:space="preserve"> Druhou kategorií jsou Gefahrstoff – látky, kte</w:t>
      </w:r>
      <w:r>
        <w:rPr>
          <w:rFonts w:ascii="Times New Roman" w:hAnsi="Times New Roman" w:cs="Times New Roman"/>
          <w:color w:val="auto"/>
        </w:rPr>
        <w:t xml:space="preserve">ré mají chemické nebezpečí, jako například toxický, hořlavý či nebezpečný pro životní prostředí. Právní předpisy v obecné rovině rozdělujeme také na dvě části – zákony a nařízení o nebezpečných látkách (Gefahrstoffrecht) platící pro skladování a užívání nebezpečných látek a zákony a nařízení o nebezpečných věcích (Gefahrgutrecht) vztahující se na přepravu nebezpečných látek, kterými se budeme nadále převážně zabývat. </w:t>
      </w:r>
    </w:p>
    <w:p w:rsidR="00805A67" w:rsidRDefault="00805A67" w:rsidP="00376A18">
      <w:pPr>
        <w:pStyle w:val="Default"/>
        <w:spacing w:before="120" w:after="120"/>
        <w:ind w:firstLine="284"/>
      </w:pPr>
      <w:r w:rsidRPr="006A4C56">
        <w:rPr>
          <w:rFonts w:ascii="Times New Roman" w:hAnsi="Times New Roman" w:cs="Times New Roman"/>
        </w:rPr>
        <w:t xml:space="preserve">Zdroj: </w:t>
      </w:r>
      <w:hyperlink r:id="rId12" w:history="1">
        <w:r w:rsidRPr="006A4C56">
          <w:rPr>
            <w:rStyle w:val="Hypertextovodkaz"/>
            <w:rFonts w:ascii="Times New Roman" w:hAnsi="Times New Roman" w:cs="Times New Roman"/>
          </w:rPr>
          <w:t>http://de.wikipedia.org/wiki/Gefahrgut</w:t>
        </w:r>
      </w:hyperlink>
      <w:r w:rsidRPr="006A4C56">
        <w:rPr>
          <w:rFonts w:ascii="Times New Roman" w:hAnsi="Times New Roman" w:cs="Times New Roman"/>
        </w:rPr>
        <w:t xml:space="preserve">, </w:t>
      </w:r>
      <w:hyperlink r:id="rId13" w:history="1">
        <w:r w:rsidRPr="006A4C56">
          <w:rPr>
            <w:rStyle w:val="Hypertextovodkaz"/>
            <w:rFonts w:ascii="Times New Roman" w:hAnsi="Times New Roman" w:cs="Times New Roman"/>
          </w:rPr>
          <w:t>http://de.wikipedia.org/wiki/Gefahrstoff</w:t>
        </w:r>
      </w:hyperlink>
    </w:p>
    <w:p w:rsidR="00B26E3D" w:rsidRDefault="00B26E3D" w:rsidP="00B26E3D">
      <w:pPr>
        <w:pStyle w:val="Default"/>
        <w:tabs>
          <w:tab w:val="left" w:pos="1134"/>
        </w:tabs>
        <w:spacing w:before="120"/>
        <w:ind w:firstLine="284"/>
        <w:rPr>
          <w:rFonts w:ascii="Times New Roman" w:hAnsi="Times New Roman" w:cs="Times New Roman"/>
        </w:rPr>
      </w:pPr>
      <w:r>
        <w:rPr>
          <w:rFonts w:ascii="Times New Roman" w:hAnsi="Times New Roman" w:cs="Times New Roman"/>
        </w:rPr>
        <w:t>Soubor</w:t>
      </w:r>
      <w:r w:rsidRPr="00B26E3D">
        <w:rPr>
          <w:rFonts w:ascii="Times New Roman" w:hAnsi="Times New Roman" w:cs="Times New Roman"/>
        </w:rPr>
        <w:t>:</w:t>
      </w:r>
      <w:r>
        <w:tab/>
      </w:r>
      <w:r w:rsidRPr="00B26E3D">
        <w:rPr>
          <w:rFonts w:ascii="Times New Roman" w:hAnsi="Times New Roman" w:cs="Times New Roman"/>
        </w:rPr>
        <w:t>DE_01_Gefahrgut – Wikipedia.pdf</w:t>
      </w:r>
    </w:p>
    <w:p w:rsidR="00B26E3D" w:rsidRDefault="00B26E3D" w:rsidP="00B26E3D">
      <w:pPr>
        <w:pStyle w:val="Default"/>
        <w:tabs>
          <w:tab w:val="left" w:pos="1134"/>
        </w:tabs>
        <w:spacing w:after="120"/>
        <w:ind w:firstLine="284"/>
        <w:rPr>
          <w:rFonts w:ascii="Times New Roman" w:hAnsi="Times New Roman" w:cs="Times New Roman"/>
        </w:rPr>
      </w:pPr>
      <w:r>
        <w:rPr>
          <w:rFonts w:ascii="Times New Roman" w:hAnsi="Times New Roman" w:cs="Times New Roman"/>
        </w:rPr>
        <w:tab/>
      </w:r>
      <w:r w:rsidRPr="00927D4E">
        <w:rPr>
          <w:rFonts w:ascii="Times New Roman" w:hAnsi="Times New Roman" w:cs="Times New Roman"/>
        </w:rPr>
        <w:t>DE_02_Gefahrstoff – Wikipedia.pd</w:t>
      </w:r>
      <w:r>
        <w:rPr>
          <w:rFonts w:ascii="Times New Roman" w:hAnsi="Times New Roman" w:cs="Times New Roman"/>
        </w:rPr>
        <w:t>f</w:t>
      </w:r>
    </w:p>
    <w:p w:rsidR="00805A67" w:rsidRPr="00ED7505" w:rsidRDefault="00805A67" w:rsidP="00376A18">
      <w:pPr>
        <w:pStyle w:val="Default"/>
        <w:ind w:firstLine="284"/>
        <w:jc w:val="both"/>
        <w:rPr>
          <w:rFonts w:ascii="Times New Roman" w:hAnsi="Times New Roman" w:cs="Times New Roman"/>
          <w:color w:val="auto"/>
        </w:rPr>
      </w:pPr>
      <w:r>
        <w:rPr>
          <w:rFonts w:ascii="Times New Roman" w:hAnsi="Times New Roman" w:cs="Times New Roman"/>
        </w:rPr>
        <w:t xml:space="preserve">Mimo danou terminologii a vztažené zákony stojí radioaktivní materiál, na který se </w:t>
      </w:r>
      <w:r w:rsidRPr="00ED7505">
        <w:rPr>
          <w:rFonts w:ascii="Times New Roman" w:hAnsi="Times New Roman" w:cs="Times New Roman"/>
          <w:color w:val="auto"/>
        </w:rPr>
        <w:t xml:space="preserve">vztahuje zvláštní předpis a pro jejich přepravu platí jiná ustanovení. </w:t>
      </w:r>
    </w:p>
    <w:p w:rsidR="00805A67" w:rsidRPr="00275ED3" w:rsidRDefault="00805A67" w:rsidP="00376A18">
      <w:pPr>
        <w:pStyle w:val="Default"/>
        <w:spacing w:before="120"/>
        <w:ind w:firstLine="284"/>
        <w:jc w:val="both"/>
        <w:rPr>
          <w:rFonts w:ascii="Times New Roman" w:hAnsi="Times New Roman" w:cs="Times New Roman"/>
          <w:color w:val="auto"/>
        </w:rPr>
      </w:pPr>
      <w:r w:rsidRPr="00275ED3">
        <w:rPr>
          <w:rFonts w:ascii="Times New Roman" w:hAnsi="Times New Roman" w:cs="Times New Roman"/>
          <w:color w:val="auto"/>
        </w:rPr>
        <w:t>Právní systém vztahující se na přepravu nebezpečných látek je zřejmý z následujícího obrázku</w:t>
      </w:r>
      <w:r w:rsidR="00275ED3">
        <w:rPr>
          <w:rFonts w:ascii="Times New Roman" w:hAnsi="Times New Roman" w:cs="Times New Roman"/>
          <w:color w:val="auto"/>
        </w:rPr>
        <w:t xml:space="preserve"> </w:t>
      </w:r>
      <w:r w:rsidR="00B671C0" w:rsidRPr="00376A18">
        <w:rPr>
          <w:rFonts w:ascii="Times New Roman" w:hAnsi="Times New Roman" w:cs="Times New Roman"/>
          <w:i/>
          <w:color w:val="auto"/>
        </w:rPr>
        <w:t xml:space="preserve">DE - </w:t>
      </w:r>
      <w:r w:rsidR="00275ED3" w:rsidRPr="00376A18">
        <w:rPr>
          <w:rFonts w:ascii="Times New Roman" w:hAnsi="Times New Roman" w:cs="Times New Roman"/>
          <w:i/>
          <w:color w:val="auto"/>
        </w:rPr>
        <w:t>Obr 1</w:t>
      </w:r>
      <w:r w:rsidR="00B671C0" w:rsidRPr="00376A18">
        <w:rPr>
          <w:rFonts w:ascii="Times New Roman" w:hAnsi="Times New Roman" w:cs="Times New Roman"/>
          <w:i/>
          <w:color w:val="auto"/>
        </w:rPr>
        <w:t>. – Právní systém</w:t>
      </w:r>
      <w:r w:rsidR="00376A18">
        <w:rPr>
          <w:rFonts w:ascii="Times New Roman" w:hAnsi="Times New Roman" w:cs="Times New Roman"/>
          <w:i/>
          <w:color w:val="auto"/>
        </w:rPr>
        <w:t>.</w:t>
      </w:r>
    </w:p>
    <w:p w:rsidR="00ED7505" w:rsidRPr="00F77CF1" w:rsidRDefault="00ED7505" w:rsidP="00376A18">
      <w:pPr>
        <w:pStyle w:val="Default"/>
        <w:spacing w:before="120"/>
        <w:ind w:firstLine="284"/>
        <w:jc w:val="both"/>
        <w:rPr>
          <w:rFonts w:ascii="Times New Roman" w:hAnsi="Times New Roman" w:cs="Times New Roman"/>
          <w:color w:val="auto"/>
        </w:rPr>
      </w:pPr>
      <w:r w:rsidRPr="00F77CF1">
        <w:rPr>
          <w:rFonts w:ascii="Times New Roman" w:hAnsi="Times New Roman" w:cs="Times New Roman"/>
          <w:color w:val="auto"/>
        </w:rPr>
        <w:t xml:space="preserve">Na pomyslném vrcholu právních předpisů stojí GGBefG – Zákon o přepravě nebezpečných látek. Dalšími předpisy jsou předpisy pro určité druhy přepravy. GGVSEB pro přepravu silniční, železniční a vodní, GGVSee pro námořní přepravu a mezinárodní předpis pro leteckou přepravu. K těmto předpisům se vztahují předpisy pro bezpečnostního poradce (GbV), předpis pro udělování výjimek (GGAV), předpis o nákladech za přepravu (GGKostV) a nařízení o kontrole nebezpečných látek (GGKontrollV). </w:t>
      </w:r>
      <w:r w:rsidRPr="00F77CF1">
        <w:rPr>
          <w:rFonts w:ascii="Times New Roman" w:hAnsi="Times New Roman" w:cs="Times New Roman"/>
          <w:color w:val="auto"/>
        </w:rPr>
        <w:br w:type="page"/>
      </w:r>
    </w:p>
    <w:p w:rsidR="00B671C0" w:rsidRDefault="00805A67" w:rsidP="00376A18">
      <w:pPr>
        <w:pStyle w:val="Default"/>
        <w:ind w:firstLine="284"/>
        <w:jc w:val="center"/>
        <w:rPr>
          <w:rFonts w:ascii="Times New Roman" w:hAnsi="Times New Roman" w:cs="Times New Roman"/>
          <w:color w:val="auto"/>
        </w:rPr>
      </w:pPr>
      <w:r w:rsidRPr="00F77CF1">
        <w:rPr>
          <w:rFonts w:ascii="Times New Roman" w:hAnsi="Times New Roman" w:cs="Times New Roman"/>
          <w:noProof/>
          <w:color w:val="auto"/>
          <w:lang w:eastAsia="cs-CZ"/>
        </w:rPr>
        <w:lastRenderedPageBreak/>
        <w:drawing>
          <wp:inline distT="0" distB="0" distL="0" distR="0">
            <wp:extent cx="4339044" cy="4867275"/>
            <wp:effectExtent l="19050" t="0" r="4356" b="0"/>
            <wp:docPr id="17" name="Obrázek 0" descr="Postavení zákonů_S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avení zákonů_SRN.jpg"/>
                    <pic:cNvPicPr/>
                  </pic:nvPicPr>
                  <pic:blipFill>
                    <a:blip r:embed="rId14" cstate="print"/>
                    <a:stretch>
                      <a:fillRect/>
                    </a:stretch>
                  </pic:blipFill>
                  <pic:spPr>
                    <a:xfrm>
                      <a:off x="0" y="0"/>
                      <a:ext cx="4339044" cy="4867275"/>
                    </a:xfrm>
                    <a:prstGeom prst="rect">
                      <a:avLst/>
                    </a:prstGeom>
                  </pic:spPr>
                </pic:pic>
              </a:graphicData>
            </a:graphic>
          </wp:inline>
        </w:drawing>
      </w:r>
    </w:p>
    <w:p w:rsidR="00B671C0" w:rsidRPr="00B671C0" w:rsidRDefault="00B671C0" w:rsidP="00376A18">
      <w:pPr>
        <w:pStyle w:val="Default"/>
        <w:jc w:val="center"/>
        <w:rPr>
          <w:rFonts w:ascii="Times New Roman" w:hAnsi="Times New Roman" w:cs="Times New Roman"/>
          <w:i/>
          <w:color w:val="auto"/>
          <w:sz w:val="22"/>
        </w:rPr>
      </w:pPr>
      <w:r w:rsidRPr="00B671C0">
        <w:rPr>
          <w:rFonts w:ascii="Times New Roman" w:hAnsi="Times New Roman" w:cs="Times New Roman"/>
          <w:i/>
          <w:color w:val="auto"/>
          <w:sz w:val="22"/>
        </w:rPr>
        <w:t xml:space="preserve">DE </w:t>
      </w:r>
      <w:r w:rsidR="00831C38">
        <w:rPr>
          <w:rFonts w:ascii="Times New Roman" w:hAnsi="Times New Roman" w:cs="Times New Roman"/>
          <w:i/>
          <w:color w:val="auto"/>
          <w:sz w:val="22"/>
        </w:rPr>
        <w:t>–</w:t>
      </w:r>
      <w:r w:rsidRPr="00B671C0">
        <w:rPr>
          <w:rFonts w:ascii="Times New Roman" w:hAnsi="Times New Roman" w:cs="Times New Roman"/>
          <w:i/>
          <w:color w:val="auto"/>
          <w:sz w:val="22"/>
        </w:rPr>
        <w:t xml:space="preserve"> Obr</w:t>
      </w:r>
      <w:r w:rsidR="00831C38">
        <w:rPr>
          <w:rFonts w:ascii="Times New Roman" w:hAnsi="Times New Roman" w:cs="Times New Roman"/>
          <w:i/>
          <w:color w:val="auto"/>
          <w:sz w:val="22"/>
        </w:rPr>
        <w:t>.</w:t>
      </w:r>
      <w:r w:rsidRPr="00B671C0">
        <w:rPr>
          <w:rFonts w:ascii="Times New Roman" w:hAnsi="Times New Roman" w:cs="Times New Roman"/>
          <w:i/>
          <w:color w:val="auto"/>
          <w:sz w:val="22"/>
        </w:rPr>
        <w:t xml:space="preserve"> 1</w:t>
      </w:r>
      <w:r>
        <w:rPr>
          <w:rFonts w:ascii="Times New Roman" w:hAnsi="Times New Roman" w:cs="Times New Roman"/>
          <w:i/>
          <w:color w:val="auto"/>
          <w:sz w:val="22"/>
        </w:rPr>
        <w:t>.</w:t>
      </w:r>
      <w:r w:rsidRPr="00B671C0">
        <w:rPr>
          <w:rFonts w:ascii="Times New Roman" w:hAnsi="Times New Roman" w:cs="Times New Roman"/>
          <w:i/>
          <w:color w:val="auto"/>
          <w:sz w:val="22"/>
        </w:rPr>
        <w:t xml:space="preserve"> – Právní systém</w:t>
      </w:r>
      <w:r w:rsidR="007B64B5">
        <w:rPr>
          <w:rFonts w:ascii="Times New Roman" w:hAnsi="Times New Roman" w:cs="Times New Roman"/>
          <w:i/>
          <w:color w:val="auto"/>
          <w:sz w:val="22"/>
        </w:rPr>
        <w:t>, Zdroj</w:t>
      </w:r>
      <w:r w:rsidR="007B64B5" w:rsidRPr="004F0B59">
        <w:rPr>
          <w:rFonts w:ascii="Times New Roman" w:hAnsi="Times New Roman" w:cs="Times New Roman"/>
          <w:i/>
          <w:color w:val="auto"/>
        </w:rPr>
        <w:t>:</w:t>
      </w:r>
      <w:r w:rsidR="004F0B59" w:rsidRPr="004F0B59">
        <w:rPr>
          <w:rFonts w:ascii="Times New Roman" w:hAnsi="Times New Roman" w:cs="Times New Roman"/>
          <w:i/>
        </w:rPr>
        <w:t xml:space="preserve"> [DE-3]</w:t>
      </w:r>
      <w:r w:rsidR="004F0B59">
        <w:t xml:space="preserve"> </w:t>
      </w:r>
    </w:p>
    <w:p w:rsidR="00805A67" w:rsidRDefault="00805A67" w:rsidP="00376A18">
      <w:pPr>
        <w:pStyle w:val="Default"/>
        <w:spacing w:before="120"/>
        <w:ind w:firstLine="284"/>
        <w:jc w:val="both"/>
        <w:rPr>
          <w:rFonts w:ascii="Times New Roman" w:hAnsi="Times New Roman" w:cs="Times New Roman"/>
        </w:rPr>
      </w:pPr>
      <w:r>
        <w:rPr>
          <w:rFonts w:ascii="Times New Roman" w:hAnsi="Times New Roman" w:cs="Times New Roman"/>
        </w:rPr>
        <w:t>Mezi národními zákony a předpisy platí jistá analogie, která je již patrná z uvedeného schématu rozložení zákonů</w:t>
      </w:r>
      <w:r w:rsidR="00727520">
        <w:rPr>
          <w:rFonts w:ascii="Times New Roman" w:hAnsi="Times New Roman" w:cs="Times New Roman"/>
        </w:rPr>
        <w:t xml:space="preserve"> z předešlého obrázku </w:t>
      </w:r>
      <w:r w:rsidR="00727520" w:rsidRPr="00B671C0">
        <w:rPr>
          <w:rFonts w:ascii="Times New Roman" w:hAnsi="Times New Roman" w:cs="Times New Roman"/>
          <w:i/>
          <w:color w:val="auto"/>
          <w:sz w:val="22"/>
        </w:rPr>
        <w:t xml:space="preserve">DE </w:t>
      </w:r>
      <w:r w:rsidR="00727520">
        <w:rPr>
          <w:rFonts w:ascii="Times New Roman" w:hAnsi="Times New Roman" w:cs="Times New Roman"/>
          <w:i/>
          <w:color w:val="auto"/>
          <w:sz w:val="22"/>
        </w:rPr>
        <w:t>–</w:t>
      </w:r>
      <w:r w:rsidR="00727520" w:rsidRPr="00B671C0">
        <w:rPr>
          <w:rFonts w:ascii="Times New Roman" w:hAnsi="Times New Roman" w:cs="Times New Roman"/>
          <w:i/>
          <w:color w:val="auto"/>
          <w:sz w:val="22"/>
        </w:rPr>
        <w:t xml:space="preserve"> Obr</w:t>
      </w:r>
      <w:r w:rsidR="00727520">
        <w:rPr>
          <w:rFonts w:ascii="Times New Roman" w:hAnsi="Times New Roman" w:cs="Times New Roman"/>
          <w:i/>
          <w:color w:val="auto"/>
          <w:sz w:val="22"/>
        </w:rPr>
        <w:t>.</w:t>
      </w:r>
      <w:r w:rsidR="00727520" w:rsidRPr="00B671C0">
        <w:rPr>
          <w:rFonts w:ascii="Times New Roman" w:hAnsi="Times New Roman" w:cs="Times New Roman"/>
          <w:i/>
          <w:color w:val="auto"/>
          <w:sz w:val="22"/>
        </w:rPr>
        <w:t xml:space="preserve"> 1</w:t>
      </w:r>
      <w:r w:rsidR="00727520">
        <w:rPr>
          <w:rFonts w:ascii="Times New Roman" w:hAnsi="Times New Roman" w:cs="Times New Roman"/>
          <w:i/>
          <w:color w:val="auto"/>
          <w:sz w:val="22"/>
        </w:rPr>
        <w:t>.</w:t>
      </w:r>
      <w:r w:rsidR="00727520" w:rsidRPr="00B671C0">
        <w:rPr>
          <w:rFonts w:ascii="Times New Roman" w:hAnsi="Times New Roman" w:cs="Times New Roman"/>
          <w:i/>
          <w:color w:val="auto"/>
          <w:sz w:val="22"/>
        </w:rPr>
        <w:t xml:space="preserve"> – Právní systém</w:t>
      </w:r>
      <w:r>
        <w:rPr>
          <w:rFonts w:ascii="Times New Roman" w:hAnsi="Times New Roman" w:cs="Times New Roman"/>
        </w:rPr>
        <w:t xml:space="preserve">. Jednotlivé zákony jsou rozebrány v následujících kapitolách. </w:t>
      </w:r>
    </w:p>
    <w:p w:rsidR="00805A67" w:rsidRDefault="00805A67" w:rsidP="00376A18">
      <w:pPr>
        <w:pStyle w:val="Default"/>
        <w:spacing w:before="120"/>
        <w:ind w:firstLine="284"/>
        <w:jc w:val="both"/>
        <w:rPr>
          <w:rFonts w:ascii="Times New Roman" w:hAnsi="Times New Roman" w:cs="Times New Roman"/>
          <w:color w:val="auto"/>
        </w:rPr>
      </w:pPr>
      <w:r>
        <w:rPr>
          <w:rFonts w:ascii="Times New Roman" w:hAnsi="Times New Roman" w:cs="Times New Roman"/>
        </w:rPr>
        <w:t xml:space="preserve">V Německu je speciálně zaveden bezpečnostní zmocněnec pro námořní přepravy, jelikož </w:t>
      </w:r>
      <w:r w:rsidRPr="00F77CF1">
        <w:rPr>
          <w:rFonts w:ascii="Times New Roman" w:hAnsi="Times New Roman" w:cs="Times New Roman"/>
          <w:color w:val="auto"/>
        </w:rPr>
        <w:t>odpovídající mezinárodní předpis žádnou takovou definici neuvádí. Rozdílná situace je u silniční, železniční a vodní přepravy, kde je zaveden pojem bezpečnostního poradce</w:t>
      </w:r>
      <w:r w:rsidR="00727520">
        <w:rPr>
          <w:rFonts w:ascii="Times New Roman" w:hAnsi="Times New Roman" w:cs="Times New Roman"/>
          <w:color w:val="auto"/>
        </w:rPr>
        <w:t>, definovaný jednotlivými mezinárodními předpisy.</w:t>
      </w:r>
    </w:p>
    <w:p w:rsidR="00B26E3D" w:rsidRDefault="00B26E3D" w:rsidP="00B26E3D">
      <w:pPr>
        <w:spacing w:before="120" w:after="0"/>
      </w:pPr>
      <w:r>
        <w:t xml:space="preserve">Zdroj: </w:t>
      </w:r>
      <w:hyperlink r:id="rId15" w:history="1">
        <w:r w:rsidRPr="00DC74F6">
          <w:rPr>
            <w:rStyle w:val="Hypertextovodkaz"/>
          </w:rPr>
          <w:t>http://www.bgrci.de/praevention/fachwissen/gefahrstoffe/gefahrguttransport/regelwerk/</w:t>
        </w:r>
      </w:hyperlink>
    </w:p>
    <w:p w:rsidR="00B26E3D" w:rsidRPr="00927D4E" w:rsidRDefault="00B26E3D" w:rsidP="00B26E3D">
      <w:pPr>
        <w:spacing w:before="120" w:after="0"/>
      </w:pPr>
      <w:r>
        <w:t xml:space="preserve">Soubor: </w:t>
      </w:r>
      <w:r w:rsidRPr="00927D4E">
        <w:t>DE_03_ Regelwerk - BG RCI.pdf</w:t>
      </w:r>
    </w:p>
    <w:p w:rsidR="00805A67" w:rsidRPr="00071287" w:rsidRDefault="00805A67" w:rsidP="00805A67">
      <w:pPr>
        <w:pStyle w:val="Nadpis4"/>
        <w:rPr>
          <w:rFonts w:ascii="Times New Roman" w:eastAsiaTheme="majorEastAsia" w:hAnsi="Times New Roman"/>
          <w:sz w:val="28"/>
        </w:rPr>
      </w:pPr>
      <w:bookmarkStart w:id="4" w:name="_Toc319948590"/>
      <w:bookmarkStart w:id="5" w:name="_Toc326741486"/>
      <w:r w:rsidRPr="00071287">
        <w:rPr>
          <w:rFonts w:ascii="Times New Roman" w:eastAsiaTheme="majorEastAsia" w:hAnsi="Times New Roman"/>
          <w:sz w:val="28"/>
        </w:rPr>
        <w:t xml:space="preserve">Národní zákony </w:t>
      </w:r>
      <w:bookmarkEnd w:id="4"/>
      <w:r w:rsidRPr="00071287">
        <w:rPr>
          <w:rFonts w:ascii="Times New Roman" w:eastAsiaTheme="majorEastAsia" w:hAnsi="Times New Roman"/>
          <w:sz w:val="28"/>
        </w:rPr>
        <w:t>a předpisy</w:t>
      </w:r>
      <w:bookmarkEnd w:id="5"/>
    </w:p>
    <w:p w:rsidR="00805A67" w:rsidRPr="002D16BB" w:rsidRDefault="00805A67" w:rsidP="00376A18">
      <w:pPr>
        <w:pStyle w:val="Odstavecseseznamem"/>
        <w:spacing w:before="120"/>
        <w:ind w:left="0" w:firstLine="0"/>
        <w:contextualSpacing w:val="0"/>
        <w:jc w:val="both"/>
        <w:rPr>
          <w:rFonts w:ascii="Times New Roman" w:hAnsi="Times New Roman"/>
          <w:b/>
          <w:sz w:val="24"/>
        </w:rPr>
      </w:pPr>
      <w:r w:rsidRPr="002D16BB">
        <w:rPr>
          <w:rFonts w:ascii="Times New Roman" w:hAnsi="Times New Roman"/>
          <w:b/>
          <w:sz w:val="24"/>
        </w:rPr>
        <w:t>GGBefG - Gesetz über die Beförderung gefährlicher Güter</w:t>
      </w:r>
    </w:p>
    <w:p w:rsidR="00805A67" w:rsidRPr="002D16BB" w:rsidRDefault="00805A67" w:rsidP="00376A18">
      <w:pPr>
        <w:pStyle w:val="Odstavecseseznamem"/>
        <w:spacing w:after="120"/>
        <w:ind w:left="0" w:firstLine="0"/>
        <w:contextualSpacing w:val="0"/>
        <w:rPr>
          <w:rFonts w:ascii="Times New Roman" w:hAnsi="Times New Roman"/>
          <w:b/>
          <w:sz w:val="24"/>
        </w:rPr>
      </w:pPr>
      <w:r w:rsidRPr="002D16BB">
        <w:rPr>
          <w:rFonts w:ascii="Times New Roman" w:hAnsi="Times New Roman"/>
          <w:b/>
          <w:sz w:val="24"/>
        </w:rPr>
        <w:t xml:space="preserve">(Zákon o přepravě nebezpečných </w:t>
      </w:r>
      <w:r w:rsidR="00727520">
        <w:rPr>
          <w:rFonts w:ascii="Times New Roman" w:hAnsi="Times New Roman"/>
          <w:b/>
          <w:sz w:val="24"/>
        </w:rPr>
        <w:t>věcí</w:t>
      </w:r>
      <w:r w:rsidRPr="002D16BB">
        <w:rPr>
          <w:rFonts w:ascii="Times New Roman" w:hAnsi="Times New Roman"/>
          <w:b/>
          <w:sz w:val="24"/>
        </w:rPr>
        <w:t>)</w:t>
      </w:r>
    </w:p>
    <w:p w:rsidR="00805A67" w:rsidRPr="00024DA8" w:rsidRDefault="00805A67" w:rsidP="00E01488">
      <w:pPr>
        <w:pStyle w:val="Default"/>
        <w:spacing w:before="120"/>
        <w:ind w:firstLine="284"/>
        <w:jc w:val="both"/>
        <w:rPr>
          <w:rFonts w:ascii="Times New Roman" w:hAnsi="Times New Roman" w:cs="Times New Roman"/>
        </w:rPr>
      </w:pPr>
      <w:r w:rsidRPr="00024DA8">
        <w:rPr>
          <w:rFonts w:ascii="Times New Roman" w:hAnsi="Times New Roman" w:cs="Times New Roman"/>
        </w:rPr>
        <w:t xml:space="preserve">Zákon o přepravě nebezpečných </w:t>
      </w:r>
      <w:r w:rsidR="00727520">
        <w:rPr>
          <w:rFonts w:ascii="Times New Roman" w:hAnsi="Times New Roman" w:cs="Times New Roman"/>
        </w:rPr>
        <w:t>věcí</w:t>
      </w:r>
      <w:r w:rsidRPr="00024DA8">
        <w:rPr>
          <w:rFonts w:ascii="Times New Roman" w:hAnsi="Times New Roman" w:cs="Times New Roman"/>
        </w:rPr>
        <w:t xml:space="preserve"> (GGBefG) se nevztahuje na interní dopravu v uzavřených areálech. K tomuto účelu se použijí ustanovení ze zákona o chemických látkách. Mezistátní přeprava nebezpečných věcí je upravena mezinárodními předpisy. </w:t>
      </w:r>
    </w:p>
    <w:p w:rsidR="00805A67" w:rsidRPr="00024DA8" w:rsidRDefault="00805A67" w:rsidP="00376A18">
      <w:pPr>
        <w:spacing w:before="120"/>
        <w:ind w:firstLine="284"/>
      </w:pPr>
      <w:r w:rsidRPr="00024DA8">
        <w:lastRenderedPageBreak/>
        <w:t>§1 ROZSAH PŮSOBNOSTI - Tento zákon se vztahuje na přepravu nebezpečných věcí silniční, železniční, námořní, leteckou dopravou a pro dopravu pomocí magnetické levitace (maglev), stejně jako na výrobu, dovoz a uvádění na tr</w:t>
      </w:r>
      <w:r>
        <w:t>h obalů, přepravních kontejnerů</w:t>
      </w:r>
      <w:r w:rsidRPr="00024DA8">
        <w:t xml:space="preserve"> a vozidel pro přepravu nebezpečných věcí. Nevztahuje se ale n</w:t>
      </w:r>
      <w:r>
        <w:t>a dopravu v rámci společnosti</w:t>
      </w:r>
      <w:r w:rsidRPr="00024DA8">
        <w:t xml:space="preserve"> nebo v průmyslových parcích, kde je nebezpečné zboží vyrobeno, zpracováno, skladováno, použito nebo zlikvidováno, pokud se to odehrává v uzavřeném prostoru. Dále se nevztahuje na mezistátní dopravu a na horské železnice. Zákon nemá vliv na právní předpisy týkající se nebezpečných věcí, které byly přijaty z jiných důvodů než z těch o bezpečnosti v souvislosti s přepravou a na místní specifika vycházející z bezpečnostních předpisů federálních, zemských a obecních úřadů.</w:t>
      </w:r>
    </w:p>
    <w:p w:rsidR="00805A67" w:rsidRPr="00024DA8" w:rsidRDefault="00805A67" w:rsidP="00AC6B12">
      <w:pPr>
        <w:spacing w:before="120"/>
        <w:ind w:firstLine="284"/>
      </w:pPr>
      <w:r w:rsidRPr="00024DA8">
        <w:t>§2 DEFINICE - Nebezpečné zboží jsou ve smyslu tohoto zákona látky a předměty, pro jejichž povahu nebo vlastnosti může být jejich přepravou ohrožena bezpečnost osob, majetku, zvířat a životního prostředí. Přeprava pro účely zákona zahrnuje nejen proces vlastního pohybu, ale také získávání a dodávání zboží, balení a vybalování zboží, nakládky a vykládky, výroby, dovozu a uvádění na trh obalů a prostředků pro přepravu nebezpečných věcí v případě, že tato opatření neprovádí dopravce.</w:t>
      </w:r>
      <w:r>
        <w:t xml:space="preserve"> </w:t>
      </w:r>
      <w:r w:rsidRPr="00024DA8">
        <w:t xml:space="preserve">O dočasný pobyt v průběhu přepravy se jedná v případě, kdy se zastaví pohyb nebezpečných věcí z důvodu změny dopravního prostředku (překládka) nebo z jiných dopravních důvodů. Cisternové kontejnery, cisterny, a cisternové vozy nesmí být během této doby otevřeny. </w:t>
      </w:r>
    </w:p>
    <w:p w:rsidR="00805A67" w:rsidRPr="00024DA8" w:rsidRDefault="00805A67" w:rsidP="00AC6B12">
      <w:pPr>
        <w:tabs>
          <w:tab w:val="center" w:pos="4751"/>
        </w:tabs>
        <w:spacing w:before="120"/>
        <w:ind w:firstLine="284"/>
      </w:pPr>
      <w:r w:rsidRPr="00024DA8">
        <w:t xml:space="preserve">§3 POVOLENÍ - Povolení uděluje Spolkové ministerstvo dopravy, výstavby a bydlení. Uděluje povolení zejména na schválení zboží k přepravě, označování obalů či přepravní kontejnery a vozidla. Další povolení a oblasti působnosti jsou uvedeny v zákoně. </w:t>
      </w:r>
    </w:p>
    <w:p w:rsidR="00805A67" w:rsidRPr="00024DA8" w:rsidRDefault="00805A67" w:rsidP="00AC6B12">
      <w:pPr>
        <w:spacing w:before="120"/>
        <w:ind w:firstLine="284"/>
      </w:pPr>
      <w:r w:rsidRPr="00024DA8">
        <w:t xml:space="preserve">§5 PRAVOMOCI – Stanovuje spolupráci s dalšími spolkovými orgány, jako například se Spolkovým úřadem pro nákladní dopravu, Spolkovým úřadem pro radiační ochranu, nebo s instituty z oblasti nebezpečných látek a chemikálií, jako je </w:t>
      </w:r>
      <w:r w:rsidRPr="00024DA8">
        <w:rPr>
          <w:color w:val="000000"/>
          <w:shd w:val="clear" w:color="auto" w:fill="FFFFFF"/>
        </w:rPr>
        <w:t xml:space="preserve">Robert-Koch-Institut, Výzkumný ústav pro látky a výbušniny a s dalšími subjekty určené zákonem. Dále určuje podmínky pro potřebné školení při přepravě nebezpečných látek či pro vydávání osvědčení. </w:t>
      </w:r>
    </w:p>
    <w:p w:rsidR="00805A67" w:rsidRPr="00024DA8" w:rsidRDefault="00805A67" w:rsidP="00AC6B12">
      <w:pPr>
        <w:spacing w:before="120"/>
        <w:ind w:firstLine="284"/>
      </w:pPr>
      <w:r w:rsidRPr="00024DA8">
        <w:t xml:space="preserve">§6 VŠEOBECNÉ VÝJIMKY – Výjimku může ministerstvo udělit se souhlasem Spolkové rady a to pro silniční či železniční dopravu dle směrnice 96/49/ES o přepravě nebezpečných věcí, vozidla dle směrnice 94/55/ES, vodní skútry a letadla. </w:t>
      </w:r>
    </w:p>
    <w:p w:rsidR="00805A67" w:rsidRPr="00024DA8" w:rsidRDefault="00805A67" w:rsidP="00AC6B12">
      <w:pPr>
        <w:spacing w:before="120"/>
        <w:ind w:firstLine="284"/>
      </w:pPr>
      <w:r w:rsidRPr="00024DA8">
        <w:t xml:space="preserve">§7 MIMOŘÁDNÁ OPATŘENÍ – Ministerstvo může zakázat přepravu nebezpečných </w:t>
      </w:r>
      <w:r w:rsidR="00727520">
        <w:t>věcí</w:t>
      </w:r>
      <w:r w:rsidRPr="00024DA8">
        <w:t xml:space="preserve"> vodní nebo leteckou dopravou pouze za určitých podmínek stanovených zákonem. Současně může se souhlasem komise EU povolit/zakázat přepravu nebezpečných věcí pomocí silniční nebo železniční dopravy a to pouze ve stanovených případech. </w:t>
      </w:r>
    </w:p>
    <w:p w:rsidR="00805A67" w:rsidRPr="00024DA8" w:rsidRDefault="00805A67" w:rsidP="00AC6B12">
      <w:pPr>
        <w:spacing w:before="120"/>
        <w:ind w:firstLine="284"/>
      </w:pPr>
      <w:r w:rsidRPr="00024DA8">
        <w:t>§8 OPATŘENÍ PŘÍSLUŠNÝCH ORGÁNŮ – Slouží k identifikaci vozidel nebo zab</w:t>
      </w:r>
      <w:r>
        <w:t xml:space="preserve">ránění porušování tohoto </w:t>
      </w:r>
      <w:r w:rsidRPr="00622F57">
        <w:t>zákona nebo předpisů přijatých na</w:t>
      </w:r>
      <w:r w:rsidRPr="00024DA8">
        <w:t xml:space="preserve"> základě tohoto zákona. Může dojít k zákazu pokračování v cestě, pokud nejsou splněny podmínky podle zákona. V případě dopravních prostředků, které nejsou registrovány v členském státě EU nebo jiného státu, který je signatářem Dohody o Evropském hospodářském prostoru a chtějí vstoupit na území SRN, může dojít k zabránění vstupu na území státu na vnějších hranicích EU. </w:t>
      </w:r>
    </w:p>
    <w:p w:rsidR="00805A67" w:rsidRPr="00024DA8" w:rsidRDefault="00805A67" w:rsidP="00AC6B12">
      <w:pPr>
        <w:spacing w:before="120"/>
        <w:ind w:firstLine="284"/>
      </w:pPr>
      <w:r w:rsidRPr="00024DA8">
        <w:t xml:space="preserve">§9 DOHLED – Přeprava nebezpečných věcí podléhá dozoru ze strany příslušných orgánů. Musí být splněny požadavky o poskytování informací dle znění tohoto zákona. Příslušné orgány mají právo získat obchodní záznamy zúčastněných stran, stejně jako vzorky nebezpečných materiálů a obalů, ve kterých jsou přepravovány za účelem vyšetřování či rozboru dané látky (zda se jedná o látku, která je proklamována). Kontrolním opatřením lze získat i dopisy či jinou korespondenci o nebezpečném nákladu, pokud je k tomu oprávněný </w:t>
      </w:r>
      <w:r w:rsidRPr="00024DA8">
        <w:lastRenderedPageBreak/>
        <w:t>důvod. Ustanovení o dohledu platí také pro výrobu obalů či kontejnerů a vozidel určených pro přepravu.</w:t>
      </w:r>
    </w:p>
    <w:p w:rsidR="00805A67" w:rsidRPr="00024DA8" w:rsidRDefault="00805A67" w:rsidP="00AC6B12">
      <w:pPr>
        <w:spacing w:before="120"/>
        <w:ind w:firstLine="284"/>
      </w:pPr>
      <w:r w:rsidRPr="00024DA8">
        <w:t>§10 PŘESTUPKY – Stanovení přestupků na základě zákona a jejich finanční ohodnocení.</w:t>
      </w:r>
    </w:p>
    <w:p w:rsidR="00805A67" w:rsidRPr="00F77CF1" w:rsidRDefault="00805A67" w:rsidP="00AC6B12">
      <w:pPr>
        <w:spacing w:before="120"/>
        <w:ind w:firstLine="284"/>
      </w:pPr>
      <w:r w:rsidRPr="00F77CF1">
        <w:t xml:space="preserve">§11 TRESTNÍ USTANOVENÍ – Trest odnětí svobody až na jeden rok nebo uložení pokuty tomu, kdo se dopustí přestupku podle §10. </w:t>
      </w:r>
    </w:p>
    <w:p w:rsidR="00805A67" w:rsidRDefault="00805A67" w:rsidP="00AC6B12">
      <w:pPr>
        <w:spacing w:before="120"/>
        <w:ind w:firstLine="284"/>
      </w:pPr>
      <w:r w:rsidRPr="00024DA8">
        <w:t>§12 NÁKLADY – Ministerstvo předem definuje zpoplatněné služby a stanoví fixní sazbu.</w:t>
      </w:r>
    </w:p>
    <w:p w:rsidR="00805A67" w:rsidRDefault="00805A67" w:rsidP="00AC6B12">
      <w:pPr>
        <w:spacing w:before="120" w:after="0"/>
        <w:ind w:firstLine="284"/>
      </w:pPr>
      <w:r>
        <w:t xml:space="preserve">Zdroj: </w:t>
      </w:r>
      <w:hyperlink r:id="rId16" w:history="1">
        <w:r w:rsidRPr="00024DA8">
          <w:rPr>
            <w:rStyle w:val="Hypertextovodkaz"/>
          </w:rPr>
          <w:t>http://www.gesetze-im-internet.de/gefahrgutg/BJNR021210975.html</w:t>
        </w:r>
      </w:hyperlink>
    </w:p>
    <w:p w:rsidR="009628BE" w:rsidRPr="00024DA8" w:rsidRDefault="009628BE" w:rsidP="00AC6B12">
      <w:pPr>
        <w:ind w:firstLine="284"/>
      </w:pPr>
      <w:r>
        <w:t xml:space="preserve">Soubor: </w:t>
      </w:r>
      <w:r w:rsidR="00054AAD" w:rsidRPr="00054AAD">
        <w:t>DE_</w:t>
      </w:r>
      <w:r w:rsidR="00831C38">
        <w:t>0</w:t>
      </w:r>
      <w:r w:rsidR="00B26E3D">
        <w:t>4</w:t>
      </w:r>
      <w:r w:rsidR="00054AAD" w:rsidRPr="00054AAD">
        <w:t>_ GGBefG - Gesetz über die Beförderung gefährlicher Güter</w:t>
      </w:r>
      <w:r w:rsidR="00AC6B12">
        <w:t>.pdf</w:t>
      </w:r>
    </w:p>
    <w:p w:rsidR="00805A67" w:rsidRPr="00AC6B12" w:rsidRDefault="00805A67" w:rsidP="00376A18">
      <w:pPr>
        <w:pStyle w:val="Odstavecseseznamem"/>
        <w:spacing w:before="120"/>
        <w:ind w:left="0" w:firstLine="0"/>
        <w:contextualSpacing w:val="0"/>
        <w:jc w:val="both"/>
        <w:rPr>
          <w:rFonts w:ascii="Times New Roman" w:hAnsi="Times New Roman"/>
          <w:b/>
          <w:sz w:val="24"/>
        </w:rPr>
      </w:pPr>
      <w:r w:rsidRPr="00AC6B12">
        <w:rPr>
          <w:rFonts w:ascii="Times New Roman" w:hAnsi="Times New Roman"/>
          <w:b/>
          <w:sz w:val="24"/>
        </w:rPr>
        <w:t xml:space="preserve">Zákon o ochraně před nebezpečnými </w:t>
      </w:r>
      <w:r w:rsidR="00727520">
        <w:rPr>
          <w:rFonts w:ascii="Times New Roman" w:hAnsi="Times New Roman"/>
          <w:b/>
          <w:sz w:val="24"/>
        </w:rPr>
        <w:t>materiály</w:t>
      </w:r>
      <w:r w:rsidRPr="00AC6B12">
        <w:rPr>
          <w:rFonts w:ascii="Times New Roman" w:hAnsi="Times New Roman"/>
          <w:b/>
          <w:sz w:val="24"/>
        </w:rPr>
        <w:t xml:space="preserve"> – chemický zákon</w:t>
      </w:r>
    </w:p>
    <w:p w:rsidR="00805A67" w:rsidRDefault="00805A67" w:rsidP="00376A18">
      <w:pPr>
        <w:spacing w:after="0"/>
        <w:ind w:firstLine="284"/>
      </w:pPr>
      <w:r w:rsidRPr="00024DA8">
        <w:t xml:space="preserve">Zákon definuje chemikálie a nebezpečné </w:t>
      </w:r>
      <w:r w:rsidR="00727520">
        <w:t>materiály</w:t>
      </w:r>
      <w:r w:rsidRPr="00024DA8">
        <w:t xml:space="preserve"> chemického původu na základě daných vlastností látek a sloučenin. Ukládá povinnosti Spolkového úřadu pro chemické látky. Zákon uvádí nutnost sledování látek příslušnými osobami a stanoví povinnosti a pravomoci těchto osob. </w:t>
      </w:r>
    </w:p>
    <w:p w:rsidR="00805A67" w:rsidRDefault="00805A67" w:rsidP="00376A18">
      <w:pPr>
        <w:pStyle w:val="Odstavecseseznamem"/>
        <w:spacing w:before="120"/>
        <w:ind w:left="0" w:firstLine="284"/>
        <w:contextualSpacing w:val="0"/>
        <w:rPr>
          <w:rFonts w:ascii="Times New Roman" w:hAnsi="Times New Roman"/>
          <w:sz w:val="24"/>
        </w:rPr>
      </w:pPr>
      <w:r w:rsidRPr="00054AAD">
        <w:rPr>
          <w:rFonts w:ascii="Times New Roman" w:hAnsi="Times New Roman"/>
          <w:sz w:val="24"/>
        </w:rPr>
        <w:t xml:space="preserve">Zdroj: </w:t>
      </w:r>
      <w:hyperlink r:id="rId17" w:history="1">
        <w:hyperlink r:id="rId18" w:history="1">
          <w:r w:rsidRPr="00054AAD">
            <w:rPr>
              <w:rStyle w:val="Hypertextovodkaz"/>
              <w:rFonts w:ascii="Times New Roman" w:hAnsi="Times New Roman"/>
              <w:sz w:val="24"/>
            </w:rPr>
            <w:t>http://www.gesetze-im-internet.de/chemg/BJNR017180980.html</w:t>
          </w:r>
        </w:hyperlink>
      </w:hyperlink>
    </w:p>
    <w:p w:rsidR="00054AAD" w:rsidRPr="00054AAD" w:rsidRDefault="00054AAD" w:rsidP="00376A18">
      <w:pPr>
        <w:pStyle w:val="Odstavecseseznamem"/>
        <w:ind w:left="0" w:firstLine="284"/>
        <w:contextualSpacing w:val="0"/>
        <w:rPr>
          <w:rFonts w:ascii="Times New Roman" w:hAnsi="Times New Roman"/>
          <w:sz w:val="24"/>
        </w:rPr>
      </w:pPr>
      <w:r>
        <w:rPr>
          <w:rFonts w:ascii="Times New Roman" w:hAnsi="Times New Roman"/>
          <w:sz w:val="24"/>
        </w:rPr>
        <w:t xml:space="preserve">Soubor: </w:t>
      </w:r>
      <w:r w:rsidR="00376A18" w:rsidRPr="00376A18">
        <w:rPr>
          <w:rFonts w:ascii="Times New Roman" w:hAnsi="Times New Roman"/>
          <w:sz w:val="24"/>
        </w:rPr>
        <w:t>DE_</w:t>
      </w:r>
      <w:r w:rsidR="00831C38">
        <w:rPr>
          <w:rFonts w:ascii="Times New Roman" w:hAnsi="Times New Roman"/>
          <w:sz w:val="24"/>
        </w:rPr>
        <w:t>0</w:t>
      </w:r>
      <w:r w:rsidR="00B26E3D">
        <w:rPr>
          <w:rFonts w:ascii="Times New Roman" w:hAnsi="Times New Roman"/>
          <w:sz w:val="24"/>
        </w:rPr>
        <w:t>5</w:t>
      </w:r>
      <w:r w:rsidR="00376A18" w:rsidRPr="00376A18">
        <w:rPr>
          <w:rFonts w:ascii="Times New Roman" w:hAnsi="Times New Roman"/>
          <w:sz w:val="24"/>
        </w:rPr>
        <w:t>_ChemG - Gesetz zum Schutz vor gefährlichen Stoffen</w:t>
      </w:r>
      <w:r w:rsidR="00AC6B12">
        <w:rPr>
          <w:rFonts w:ascii="Times New Roman" w:hAnsi="Times New Roman"/>
          <w:sz w:val="24"/>
        </w:rPr>
        <w:t>.pdf</w:t>
      </w:r>
    </w:p>
    <w:p w:rsidR="00805A67" w:rsidRPr="00AC6B12" w:rsidRDefault="00805A67" w:rsidP="00AC6B12">
      <w:pPr>
        <w:spacing w:before="120" w:after="0"/>
        <w:ind w:firstLine="0"/>
        <w:rPr>
          <w:b/>
        </w:rPr>
      </w:pPr>
      <w:r w:rsidRPr="00AC6B12">
        <w:rPr>
          <w:b/>
        </w:rPr>
        <w:t xml:space="preserve">GefStoffV - </w:t>
      </w:r>
      <w:r w:rsidRPr="00AC6B12">
        <w:rPr>
          <w:b/>
          <w:shd w:val="clear" w:color="auto" w:fill="FFFFFF"/>
        </w:rPr>
        <w:t>Verordnung zum Schutz vor Gefahrstoffen</w:t>
      </w:r>
    </w:p>
    <w:p w:rsidR="00805A67" w:rsidRPr="00AC6B12" w:rsidRDefault="00805A67" w:rsidP="00AC6B12">
      <w:pPr>
        <w:ind w:firstLine="0"/>
        <w:rPr>
          <w:b/>
          <w:sz w:val="28"/>
        </w:rPr>
      </w:pPr>
      <w:r w:rsidRPr="00AC6B12">
        <w:rPr>
          <w:b/>
        </w:rPr>
        <w:t xml:space="preserve">(Nařízení o nebezpečných </w:t>
      </w:r>
      <w:r w:rsidR="00727520">
        <w:rPr>
          <w:b/>
        </w:rPr>
        <w:t>materiálech</w:t>
      </w:r>
      <w:r w:rsidRPr="00AC6B12">
        <w:rPr>
          <w:b/>
        </w:rPr>
        <w:t>)</w:t>
      </w:r>
    </w:p>
    <w:p w:rsidR="00805A67" w:rsidRPr="00F77CF1" w:rsidRDefault="00805A67" w:rsidP="00805A67">
      <w:pPr>
        <w:spacing w:after="0"/>
        <w:ind w:firstLine="284"/>
        <w:rPr>
          <w:rFonts w:eastAsiaTheme="majorEastAsia"/>
        </w:rPr>
      </w:pPr>
      <w:r w:rsidRPr="00FE2DDA">
        <w:rPr>
          <w:rFonts w:eastAsiaTheme="majorEastAsia"/>
        </w:rPr>
        <w:t xml:space="preserve">Nařízení se týká ochrany lidí a životního prostředí vůči nebezpečným </w:t>
      </w:r>
      <w:r w:rsidR="00727520">
        <w:rPr>
          <w:rFonts w:eastAsiaTheme="majorEastAsia"/>
        </w:rPr>
        <w:t>materiálům</w:t>
      </w:r>
      <w:r w:rsidRPr="00FE2DDA">
        <w:rPr>
          <w:rFonts w:eastAsiaTheme="majorEastAsia"/>
        </w:rPr>
        <w:t xml:space="preserve">. Udává pravidla klasifikace, označování a balení látek, ochranu zaměstnanců a dalších osob, které přicházejí do styku s nebezpečnými </w:t>
      </w:r>
      <w:r w:rsidR="00D3149E">
        <w:rPr>
          <w:rFonts w:eastAsiaTheme="majorEastAsia"/>
        </w:rPr>
        <w:t>materiály</w:t>
      </w:r>
      <w:r w:rsidRPr="00FE2DDA">
        <w:rPr>
          <w:rFonts w:eastAsiaTheme="majorEastAsia"/>
        </w:rPr>
        <w:t xml:space="preserve">. V Německu je velký důraz kladen na způsob </w:t>
      </w:r>
      <w:r w:rsidRPr="00F77CF1">
        <w:rPr>
          <w:rFonts w:eastAsiaTheme="majorEastAsia"/>
        </w:rPr>
        <w:t xml:space="preserve">balení nebezpečných látek, což je pro následující přepravu nejdůležitější aspekt. Součástí zákona je také definice nebezpečných chemických vlastností, kterými jsou například hořlavý, toxický, jedovatý atd. </w:t>
      </w:r>
    </w:p>
    <w:p w:rsidR="00805A67" w:rsidRDefault="00805A67" w:rsidP="00376A18">
      <w:pPr>
        <w:spacing w:before="120" w:after="0"/>
        <w:ind w:firstLine="284"/>
      </w:pPr>
      <w:r>
        <w:rPr>
          <w:rFonts w:eastAsiaTheme="majorEastAsia"/>
        </w:rPr>
        <w:t xml:space="preserve">Zdroj: </w:t>
      </w:r>
      <w:hyperlink r:id="rId19" w:history="1">
        <w:r w:rsidRPr="004D73CB">
          <w:rPr>
            <w:rStyle w:val="Hypertextovodkaz"/>
          </w:rPr>
          <w:t>http://www.jusmeum.de/gesetzgebung/gesetz/GefStoffV</w:t>
        </w:r>
      </w:hyperlink>
    </w:p>
    <w:p w:rsidR="00376A18" w:rsidRPr="004D73CB" w:rsidRDefault="00376A18" w:rsidP="00376A18">
      <w:pPr>
        <w:ind w:firstLine="284"/>
      </w:pPr>
      <w:r>
        <w:t xml:space="preserve">Soubor: </w:t>
      </w:r>
      <w:r w:rsidRPr="00376A18">
        <w:t>De_</w:t>
      </w:r>
      <w:r w:rsidR="00831C38">
        <w:t>0</w:t>
      </w:r>
      <w:r w:rsidR="00B26E3D">
        <w:t>6</w:t>
      </w:r>
      <w:r w:rsidRPr="00376A18">
        <w:t>_GefStoffV - jusmeum.de</w:t>
      </w:r>
      <w:r w:rsidR="00AC6B12">
        <w:t>.pdf</w:t>
      </w:r>
    </w:p>
    <w:p w:rsidR="00805A67" w:rsidRPr="00AC6B12" w:rsidRDefault="00805A67" w:rsidP="00AC6B12">
      <w:pPr>
        <w:spacing w:before="120"/>
        <w:ind w:firstLine="0"/>
        <w:rPr>
          <w:b/>
        </w:rPr>
      </w:pPr>
      <w:r w:rsidRPr="00AC6B12">
        <w:rPr>
          <w:b/>
        </w:rPr>
        <w:t>Zákon o mírovém užívání jaderné energie a ochrany před jeho riziky</w:t>
      </w:r>
    </w:p>
    <w:p w:rsidR="00805A67" w:rsidRDefault="00805A67" w:rsidP="00805A67">
      <w:pPr>
        <w:spacing w:after="0"/>
        <w:ind w:firstLine="284"/>
        <w:rPr>
          <w:rFonts w:eastAsiaTheme="majorEastAsia"/>
        </w:rPr>
      </w:pPr>
      <w:r>
        <w:rPr>
          <w:rFonts w:eastAsiaTheme="majorEastAsia"/>
        </w:rPr>
        <w:t xml:space="preserve">Tento zákon se vztahuje na radioaktivní materiály, které jsou v tomto zákoně také definovány. Jedná se o jakékoliv látky obsahující jeden nebo více radionuklidů. Dále jsou definovány objekty a zařízení související s radioaktivním materiálem, tj. elektrárny, sklady vyhořelého paliva a dočasné uskladnění radioaktivních odpadů. </w:t>
      </w:r>
    </w:p>
    <w:p w:rsidR="00805A67" w:rsidRDefault="00805A67" w:rsidP="00AC6B12">
      <w:pPr>
        <w:spacing w:before="120" w:after="0"/>
        <w:ind w:firstLine="284"/>
        <w:rPr>
          <w:rFonts w:eastAsiaTheme="majorEastAsia"/>
        </w:rPr>
      </w:pPr>
      <w:r w:rsidRPr="00D3149E">
        <w:rPr>
          <w:rFonts w:eastAsiaTheme="majorEastAsia"/>
        </w:rPr>
        <w:t>Kdo vyváží nebo dováží jaderný odpad, potřebuje povolení. Povolení k dovozu se udělí, pokud nejsou žádné pochybnosti o spolehlivosti dovozce a v případě, že je v souladu s ustanovením tohoto zákona. Pro povolení k vývozu platí stejná pravidla daná tímto zákonem. Licenci potřebují také zařízení k štěpení jaderného paliva a pro výrobu elektřiny či</w:t>
      </w:r>
      <w:r>
        <w:rPr>
          <w:rFonts w:eastAsiaTheme="majorEastAsia"/>
        </w:rPr>
        <w:t xml:space="preserve"> pro skladování. Přeprava jaderného odpadu v uzavřených areálech nepodléhá licencím. </w:t>
      </w:r>
    </w:p>
    <w:p w:rsidR="00805A67" w:rsidRDefault="00805A67" w:rsidP="00805A67">
      <w:pPr>
        <w:spacing w:before="120" w:after="0"/>
        <w:ind w:firstLine="284"/>
      </w:pPr>
      <w:r>
        <w:t xml:space="preserve">Zdroj: </w:t>
      </w:r>
      <w:hyperlink r:id="rId20" w:history="1">
        <w:r w:rsidRPr="004D73CB">
          <w:rPr>
            <w:rStyle w:val="Hypertextovodkaz"/>
          </w:rPr>
          <w:t>http://www.gesetze-im-internet.de/atg/BJNR008140959.html</w:t>
        </w:r>
      </w:hyperlink>
    </w:p>
    <w:p w:rsidR="00AC6B12" w:rsidRDefault="00AC6B12" w:rsidP="00AC6B12">
      <w:pPr>
        <w:spacing w:after="0"/>
        <w:ind w:firstLine="284"/>
      </w:pPr>
      <w:r>
        <w:t xml:space="preserve">Soubor: </w:t>
      </w:r>
      <w:r w:rsidRPr="00AC6B12">
        <w:t>DE_</w:t>
      </w:r>
      <w:r w:rsidR="00831C38">
        <w:t>0</w:t>
      </w:r>
      <w:r w:rsidR="00B26E3D">
        <w:t>7</w:t>
      </w:r>
      <w:r w:rsidRPr="00AC6B12">
        <w:t>_AtG - Gesetz über die friedliche Verwendung der Kernenergie und den Schutz gegen ihre Gefahren.pdf</w:t>
      </w:r>
    </w:p>
    <w:p w:rsidR="00B26E3D" w:rsidRDefault="00B26E3D" w:rsidP="00AC6B12">
      <w:pPr>
        <w:spacing w:after="0"/>
        <w:ind w:firstLine="284"/>
      </w:pPr>
    </w:p>
    <w:p w:rsidR="00B26E3D" w:rsidRPr="004D73CB" w:rsidRDefault="00B26E3D" w:rsidP="00AC6B12">
      <w:pPr>
        <w:spacing w:after="0"/>
        <w:ind w:firstLine="284"/>
      </w:pPr>
    </w:p>
    <w:p w:rsidR="00805A67" w:rsidRPr="00071287" w:rsidRDefault="00805A67" w:rsidP="00805A67">
      <w:pPr>
        <w:pStyle w:val="Nadpis4"/>
        <w:rPr>
          <w:rFonts w:ascii="Times New Roman" w:eastAsiaTheme="majorEastAsia" w:hAnsi="Times New Roman"/>
          <w:sz w:val="28"/>
        </w:rPr>
      </w:pPr>
      <w:bookmarkStart w:id="6" w:name="_Toc326741487"/>
      <w:r w:rsidRPr="00071287">
        <w:rPr>
          <w:rFonts w:ascii="Times New Roman" w:eastAsiaTheme="majorEastAsia" w:hAnsi="Times New Roman"/>
          <w:sz w:val="28"/>
        </w:rPr>
        <w:lastRenderedPageBreak/>
        <w:t>Aplikace ADR</w:t>
      </w:r>
      <w:bookmarkEnd w:id="6"/>
      <w:r w:rsidRPr="00071287">
        <w:rPr>
          <w:rFonts w:ascii="Times New Roman" w:eastAsiaTheme="majorEastAsia" w:hAnsi="Times New Roman"/>
          <w:sz w:val="28"/>
        </w:rPr>
        <w:t xml:space="preserve"> </w:t>
      </w:r>
    </w:p>
    <w:p w:rsidR="00805A67" w:rsidRPr="0011453E" w:rsidRDefault="00805A67" w:rsidP="00AC6B12">
      <w:pPr>
        <w:pStyle w:val="Odstavecseseznamem"/>
        <w:tabs>
          <w:tab w:val="left" w:pos="426"/>
        </w:tabs>
        <w:spacing w:before="120"/>
        <w:ind w:left="0" w:firstLine="0"/>
        <w:contextualSpacing w:val="0"/>
        <w:jc w:val="both"/>
        <w:rPr>
          <w:rFonts w:ascii="Times New Roman" w:hAnsi="Times New Roman"/>
          <w:b/>
          <w:sz w:val="24"/>
        </w:rPr>
      </w:pPr>
      <w:r w:rsidRPr="0011453E">
        <w:rPr>
          <w:rFonts w:ascii="Times New Roman" w:hAnsi="Times New Roman"/>
          <w:b/>
          <w:sz w:val="24"/>
        </w:rPr>
        <w:t>GGVSEB – Nařízení o vnitrostátní a mezinárodní přepravě nebezpečných věcí po silnici, železnici a vnitrozemských vodách</w:t>
      </w:r>
    </w:p>
    <w:p w:rsidR="00805A67" w:rsidRPr="00F77CF1" w:rsidRDefault="00805A67" w:rsidP="00805A67">
      <w:pPr>
        <w:spacing w:after="0"/>
        <w:ind w:firstLine="284"/>
      </w:pPr>
      <w:r w:rsidRPr="002E7441">
        <w:t>Tento zákon upravuje podmínky pro přepravu nebezpečných věcí. V podstatě se jedná o zařazení mezinárodních předpisů do právního systému státu. Povolení přepravě je uděleno na základě splnění podmínek mezinárodních předpisů ADR/RID/ADN a doprava probíhá v souladu s těmito předpisy. Určuje povinnost</w:t>
      </w:r>
      <w:r w:rsidR="00D3149E">
        <w:t>i řidiče přepravující nebezpečné věci</w:t>
      </w:r>
      <w:r w:rsidRPr="002E7441">
        <w:t xml:space="preserve">, kapitána lodi a určeného příslušníka železničního provozu v případě nehody nebo při zjištění porušení předpisů pro dopravu nebezpečných </w:t>
      </w:r>
      <w:r w:rsidRPr="00F77CF1">
        <w:t xml:space="preserve">věcí pro daný druh dopravy. V zákoně jsou definovány povinnosti příslušných orgánů – Spolkové ministerstvo dopravy, výstavby a bydlení (Bmvbw), Spolkové ministerstvo obrany, Spolkové ministerstvo vnitra, Spolkový ústav pro výzkum materiálů a zkoušení materiálů, Spolkový úřad ochrany před zářením. </w:t>
      </w:r>
    </w:p>
    <w:p w:rsidR="00805A67" w:rsidRPr="002E7441" w:rsidRDefault="00805A67" w:rsidP="00805A67">
      <w:pPr>
        <w:spacing w:before="120" w:after="0"/>
        <w:ind w:firstLine="284"/>
      </w:pPr>
      <w:r w:rsidRPr="002E7441">
        <w:t xml:space="preserve">Zvláštní příslušnosti v silniční dopravě (ve smyslu tohoto zákona) – Spolkový úřad pro nákladní dopravu je odpovědný úřad pro přijímání zpráv o </w:t>
      </w:r>
      <w:r>
        <w:t>událostech s nebezpečnými věcmi</w:t>
      </w:r>
      <w:r w:rsidRPr="002E7441">
        <w:t xml:space="preserve"> podle pododdílu ADR a jejich předložení na spolkovém ministerstvu. Obchodní a průmyslová komora je odpovědná za dohled a uznání školení, provádění zkoušek a vydání osvědčení o školení řidiče dle mezinárodního předpisu ADR. </w:t>
      </w:r>
    </w:p>
    <w:p w:rsidR="00805A67" w:rsidRPr="002E7441" w:rsidRDefault="00805A67" w:rsidP="00805A67">
      <w:pPr>
        <w:spacing w:before="120" w:after="0"/>
        <w:ind w:firstLine="284"/>
      </w:pPr>
      <w:r w:rsidRPr="002E7441">
        <w:t xml:space="preserve">Zvláštní příslušnosti v železniční dopravě (ve smyslu tohoto zákona) – Spolkový železniční úřad je oprávněný orgán v přepravě nebezpečných věcí po železnici. Mezi jeho pravomoci patří například provádění kontrol nebezpečných věcí přepravovaných po železnicích v Německu, schvalování typu a testování vozů pro přepravu nebezpečných věcí či předepisování zkoušek pro tyto vozy, zejména pro cisternové vozy. </w:t>
      </w:r>
    </w:p>
    <w:p w:rsidR="00805A67" w:rsidRPr="002E7441" w:rsidRDefault="00805A67" w:rsidP="00805A67">
      <w:pPr>
        <w:spacing w:before="120" w:after="0"/>
        <w:ind w:firstLine="284"/>
      </w:pPr>
      <w:r w:rsidRPr="00F77CF1">
        <w:t>Zvláštní příslušnosti na vnitrozemských vodních cestách (ve smyslu tohoto zákona) – Příslušný</w:t>
      </w:r>
      <w:r w:rsidRPr="002E7441">
        <w:t xml:space="preserve"> lodní úřad vede seznam všech platných osvědčení a školení podle ADN, zapisuje víza, přijímá zprávy o haváriích nebezpečných věcí a další úkony stanovené zákonem. </w:t>
      </w:r>
    </w:p>
    <w:p w:rsidR="00805A67" w:rsidRPr="00F77CF1" w:rsidRDefault="00805A67" w:rsidP="00805A67">
      <w:pPr>
        <w:spacing w:before="120" w:after="0"/>
        <w:ind w:firstLine="284"/>
      </w:pPr>
      <w:r w:rsidRPr="002E7441">
        <w:t xml:space="preserve">Mezi povinnosti odesílatele patří informovat dopravce ověřitelným způsobem o hrubé hmotnosti </w:t>
      </w:r>
      <w:r w:rsidRPr="00F77CF1">
        <w:t xml:space="preserve">odesílaných nebezpečných věcí, zajistit, že byly použity pouze schválené druhy balení nebezpečných věcí, zajistit oznámení na příslušných orgánech, zajistit, aby přepravní doklad byl v souladu s danými zákony a obsahoval požadované informace. </w:t>
      </w:r>
    </w:p>
    <w:p w:rsidR="00805A67" w:rsidRPr="00F77CF1" w:rsidRDefault="00805A67" w:rsidP="00805A67">
      <w:pPr>
        <w:spacing w:before="120" w:after="0"/>
        <w:ind w:firstLine="284"/>
      </w:pPr>
      <w:r w:rsidRPr="00F77CF1">
        <w:t>Dopravce může zásilku odmítnout, pokud dojde k porušení předpisů pro přepravu a nejsou splněny její požadavky. Dopravce v silniční přepravě musí zajistit odpovědného řidiče s příslušným oprávněním.</w:t>
      </w:r>
    </w:p>
    <w:p w:rsidR="00805A67" w:rsidRPr="00F77CF1" w:rsidRDefault="00805A67" w:rsidP="00805A67">
      <w:pPr>
        <w:spacing w:before="120" w:after="0"/>
        <w:ind w:firstLine="284"/>
      </w:pPr>
      <w:r w:rsidRPr="00F77CF1">
        <w:t xml:space="preserve">Součástí zákona jsou i tabulky s přidělenými kódy a čísly jednotlivých nebezpečných věcí a k nim příslušná skupina balení – tzn., jak musí být zabalena, resp., do jaké skupiny daná látky patří. </w:t>
      </w:r>
    </w:p>
    <w:p w:rsidR="00805A67" w:rsidRPr="00AC6B12" w:rsidRDefault="00805A67" w:rsidP="00805A67">
      <w:pPr>
        <w:pStyle w:val="Odstavecseseznamem"/>
        <w:spacing w:before="120"/>
        <w:ind w:left="0" w:firstLine="284"/>
        <w:contextualSpacing w:val="0"/>
        <w:rPr>
          <w:rFonts w:ascii="Times New Roman" w:hAnsi="Times New Roman"/>
          <w:sz w:val="24"/>
        </w:rPr>
      </w:pPr>
      <w:r w:rsidRPr="00AC6B12">
        <w:rPr>
          <w:rFonts w:ascii="Times New Roman" w:hAnsi="Times New Roman"/>
          <w:sz w:val="24"/>
        </w:rPr>
        <w:t xml:space="preserve">Zdroj: </w:t>
      </w:r>
      <w:hyperlink r:id="rId21" w:history="1">
        <w:r w:rsidRPr="00AC6B12">
          <w:rPr>
            <w:rStyle w:val="Hypertextovodkaz"/>
            <w:rFonts w:ascii="Times New Roman" w:hAnsi="Times New Roman"/>
            <w:sz w:val="24"/>
          </w:rPr>
          <w:t>http://www.gesetze-im-internet.de/ggvseb/BJNR138900009.html</w:t>
        </w:r>
      </w:hyperlink>
    </w:p>
    <w:p w:rsidR="00AC6B12" w:rsidRPr="00AC6B12" w:rsidRDefault="00AC6B12" w:rsidP="00AC6B12">
      <w:pPr>
        <w:pStyle w:val="Odstavecseseznamem"/>
        <w:ind w:left="0" w:firstLine="284"/>
        <w:contextualSpacing w:val="0"/>
        <w:rPr>
          <w:rFonts w:ascii="Times New Roman" w:hAnsi="Times New Roman"/>
          <w:sz w:val="24"/>
        </w:rPr>
      </w:pPr>
      <w:r w:rsidRPr="00AC6B12">
        <w:rPr>
          <w:rFonts w:ascii="Times New Roman" w:hAnsi="Times New Roman"/>
          <w:sz w:val="24"/>
        </w:rPr>
        <w:t>Soubor: DE_</w:t>
      </w:r>
      <w:r w:rsidR="00831C38">
        <w:rPr>
          <w:rFonts w:ascii="Times New Roman" w:hAnsi="Times New Roman"/>
          <w:sz w:val="24"/>
        </w:rPr>
        <w:t>0</w:t>
      </w:r>
      <w:r w:rsidR="00B26E3D">
        <w:rPr>
          <w:rFonts w:ascii="Times New Roman" w:hAnsi="Times New Roman"/>
          <w:sz w:val="24"/>
        </w:rPr>
        <w:t>8</w:t>
      </w:r>
      <w:r w:rsidRPr="00AC6B12">
        <w:rPr>
          <w:rFonts w:ascii="Times New Roman" w:hAnsi="Times New Roman"/>
          <w:sz w:val="24"/>
        </w:rPr>
        <w:t>_ GGVSEB</w:t>
      </w:r>
      <w:r>
        <w:rPr>
          <w:rFonts w:ascii="Times New Roman" w:hAnsi="Times New Roman"/>
          <w:sz w:val="24"/>
        </w:rPr>
        <w:t>.pdf</w:t>
      </w:r>
    </w:p>
    <w:p w:rsidR="00805A67" w:rsidRPr="00071287" w:rsidRDefault="00805A67" w:rsidP="00805A67">
      <w:pPr>
        <w:pStyle w:val="Nadpis3"/>
        <w:rPr>
          <w:rFonts w:ascii="Times New Roman" w:eastAsiaTheme="majorEastAsia" w:hAnsi="Times New Roman"/>
          <w:sz w:val="28"/>
        </w:rPr>
      </w:pPr>
      <w:bookmarkStart w:id="7" w:name="_Toc326741488"/>
      <w:r w:rsidRPr="00071287">
        <w:rPr>
          <w:rFonts w:ascii="Times New Roman" w:eastAsiaTheme="majorEastAsia" w:hAnsi="Times New Roman"/>
          <w:sz w:val="28"/>
        </w:rPr>
        <w:t>Ostatní (národní) zákony a normy</w:t>
      </w:r>
      <w:bookmarkEnd w:id="7"/>
    </w:p>
    <w:p w:rsidR="00805A67" w:rsidRPr="009A255F" w:rsidRDefault="00805A67" w:rsidP="00D6186E">
      <w:pPr>
        <w:pStyle w:val="Odstavecseseznamem"/>
        <w:spacing w:before="120"/>
        <w:ind w:left="0" w:firstLine="0"/>
        <w:contextualSpacing w:val="0"/>
        <w:jc w:val="both"/>
        <w:rPr>
          <w:rFonts w:ascii="Times New Roman" w:hAnsi="Times New Roman"/>
          <w:b/>
          <w:sz w:val="24"/>
        </w:rPr>
      </w:pPr>
      <w:r w:rsidRPr="009A255F">
        <w:rPr>
          <w:rFonts w:ascii="Times New Roman" w:hAnsi="Times New Roman"/>
          <w:b/>
          <w:sz w:val="24"/>
        </w:rPr>
        <w:t xml:space="preserve">GbV </w:t>
      </w:r>
      <w:r w:rsidRPr="009A255F">
        <w:rPr>
          <w:rFonts w:ascii="Times New Roman" w:hAnsi="Times New Roman"/>
          <w:b/>
          <w:color w:val="000000"/>
          <w:sz w:val="24"/>
          <w:shd w:val="clear" w:color="auto" w:fill="FFFFFF"/>
        </w:rPr>
        <w:t>Gefahrgutbeauftragtenverordnung</w:t>
      </w:r>
    </w:p>
    <w:p w:rsidR="00805A67" w:rsidRPr="009A255F" w:rsidRDefault="00805A67" w:rsidP="00D6186E">
      <w:pPr>
        <w:pStyle w:val="Odstavecseseznamem"/>
        <w:ind w:left="0" w:firstLine="0"/>
        <w:contextualSpacing w:val="0"/>
        <w:jc w:val="both"/>
        <w:rPr>
          <w:rFonts w:ascii="Times New Roman" w:hAnsi="Times New Roman"/>
          <w:b/>
          <w:sz w:val="24"/>
        </w:rPr>
      </w:pPr>
      <w:r w:rsidRPr="009A255F">
        <w:rPr>
          <w:rFonts w:ascii="Times New Roman" w:hAnsi="Times New Roman"/>
          <w:b/>
          <w:sz w:val="24"/>
        </w:rPr>
        <w:t xml:space="preserve">Nařízení o zavedení poradce pro nebezpečné věci v podnicích </w:t>
      </w:r>
    </w:p>
    <w:p w:rsidR="00805A67" w:rsidRPr="002E7441" w:rsidRDefault="00805A67" w:rsidP="00D6186E">
      <w:pPr>
        <w:spacing w:before="120" w:after="0"/>
        <w:ind w:firstLine="284"/>
        <w:rPr>
          <w:rFonts w:eastAsiaTheme="majorEastAsia"/>
        </w:rPr>
      </w:pPr>
      <w:r w:rsidRPr="002E7441">
        <w:rPr>
          <w:rFonts w:eastAsiaTheme="majorEastAsia"/>
        </w:rPr>
        <w:t>Nařízení se vztahuje na všechny společnosti, které přepravu</w:t>
      </w:r>
      <w:r>
        <w:rPr>
          <w:rFonts w:eastAsiaTheme="majorEastAsia"/>
        </w:rPr>
        <w:t>jí nebezpečné věci po silnici</w:t>
      </w:r>
      <w:r w:rsidRPr="00AC2290">
        <w:rPr>
          <w:rFonts w:eastAsiaTheme="majorEastAsia"/>
          <w:color w:val="FF0000"/>
        </w:rPr>
        <w:t xml:space="preserve">, </w:t>
      </w:r>
      <w:r w:rsidRPr="002E7441">
        <w:rPr>
          <w:rFonts w:eastAsiaTheme="majorEastAsia"/>
        </w:rPr>
        <w:t xml:space="preserve">železnici a vnitrozemských vodních tocích. </w:t>
      </w:r>
      <w:r>
        <w:rPr>
          <w:rFonts w:eastAsiaTheme="majorEastAsia"/>
        </w:rPr>
        <w:t>Stanovuj</w:t>
      </w:r>
      <w:r w:rsidRPr="00D3149E">
        <w:rPr>
          <w:rFonts w:eastAsiaTheme="majorEastAsia"/>
        </w:rPr>
        <w:t>e</w:t>
      </w:r>
      <w:r>
        <w:rPr>
          <w:rFonts w:eastAsiaTheme="majorEastAsia"/>
        </w:rPr>
        <w:t xml:space="preserve"> požadavky na odbornou přípravu poradce, definuje průběh zkoušky a ukládá povinnosti poradce.</w:t>
      </w:r>
    </w:p>
    <w:p w:rsidR="00805A67" w:rsidRDefault="00805A67" w:rsidP="00D6186E">
      <w:pPr>
        <w:spacing w:before="120" w:after="0"/>
        <w:ind w:firstLine="284"/>
      </w:pPr>
      <w:r>
        <w:rPr>
          <w:rFonts w:eastAsiaTheme="majorEastAsia"/>
        </w:rPr>
        <w:lastRenderedPageBreak/>
        <w:t xml:space="preserve">Zdroj: </w:t>
      </w:r>
      <w:hyperlink r:id="rId22" w:history="1">
        <w:r w:rsidR="004F0B59" w:rsidRPr="004D73CB">
          <w:rPr>
            <w:rStyle w:val="Hypertextovodkaz"/>
          </w:rPr>
          <w:t>http://www.gesetze-im-internet.de/gbv_2011/BJNR034100011.html</w:t>
        </w:r>
      </w:hyperlink>
    </w:p>
    <w:p w:rsidR="00D6186E" w:rsidRPr="004D73CB" w:rsidRDefault="00D6186E" w:rsidP="00D6186E">
      <w:pPr>
        <w:spacing w:after="0"/>
        <w:ind w:firstLine="284"/>
        <w:rPr>
          <w:rFonts w:eastAsiaTheme="majorEastAsia"/>
        </w:rPr>
      </w:pPr>
      <w:r>
        <w:t xml:space="preserve">Soubor: </w:t>
      </w:r>
      <w:r w:rsidRPr="00D6186E">
        <w:t>DE_</w:t>
      </w:r>
      <w:r w:rsidR="00831C38">
        <w:t>0</w:t>
      </w:r>
      <w:r w:rsidR="00B26E3D">
        <w:t>9</w:t>
      </w:r>
      <w:r w:rsidRPr="00D6186E">
        <w:t>_GbV - Verordnung über die Bestellung von Gefahrgutbeauftragten in Unternehmen</w:t>
      </w:r>
      <w:r>
        <w:t>.pdf</w:t>
      </w:r>
    </w:p>
    <w:p w:rsidR="00805A67" w:rsidRDefault="00805A67" w:rsidP="00D6186E">
      <w:pPr>
        <w:pStyle w:val="Odstavecseseznamem"/>
        <w:spacing w:before="240"/>
        <w:ind w:left="0" w:firstLine="0"/>
        <w:contextualSpacing w:val="0"/>
        <w:jc w:val="both"/>
        <w:rPr>
          <w:rFonts w:ascii="Times New Roman" w:hAnsi="Times New Roman"/>
          <w:b/>
          <w:sz w:val="24"/>
        </w:rPr>
      </w:pPr>
      <w:r w:rsidRPr="009A255F">
        <w:rPr>
          <w:rFonts w:ascii="Times New Roman" w:hAnsi="Times New Roman"/>
          <w:b/>
          <w:sz w:val="24"/>
        </w:rPr>
        <w:t xml:space="preserve">GGAV </w:t>
      </w:r>
      <w:r w:rsidRPr="009A255F">
        <w:rPr>
          <w:rFonts w:ascii="Times New Roman" w:hAnsi="Times New Roman"/>
          <w:b/>
          <w:color w:val="000000"/>
          <w:sz w:val="24"/>
          <w:shd w:val="clear" w:color="auto" w:fill="FFFFFF"/>
        </w:rPr>
        <w:t>Gefahrgut-Ausnahmeverordnung</w:t>
      </w:r>
    </w:p>
    <w:p w:rsidR="00805A67" w:rsidRDefault="00805A67" w:rsidP="00D6186E">
      <w:pPr>
        <w:pStyle w:val="Odstavecseseznamem"/>
        <w:spacing w:after="120"/>
        <w:ind w:left="0" w:firstLine="0"/>
        <w:contextualSpacing w:val="0"/>
        <w:jc w:val="both"/>
        <w:rPr>
          <w:rFonts w:ascii="Times New Roman" w:hAnsi="Times New Roman"/>
          <w:b/>
          <w:sz w:val="24"/>
        </w:rPr>
      </w:pPr>
      <w:r w:rsidRPr="009A255F">
        <w:rPr>
          <w:rFonts w:ascii="Times New Roman" w:hAnsi="Times New Roman"/>
          <w:b/>
          <w:sz w:val="24"/>
        </w:rPr>
        <w:t>Nařízení o výjimkách z předpisů o přepravě nebezpečných věcí</w:t>
      </w:r>
    </w:p>
    <w:p w:rsidR="00805A67" w:rsidRPr="002E7441" w:rsidRDefault="00805A67" w:rsidP="00805A67">
      <w:pPr>
        <w:spacing w:after="0"/>
        <w:ind w:firstLine="284"/>
        <w:rPr>
          <w:rFonts w:eastAsiaTheme="majorEastAsia"/>
        </w:rPr>
      </w:pPr>
      <w:r w:rsidRPr="002E7441">
        <w:rPr>
          <w:rFonts w:eastAsiaTheme="majorEastAsia"/>
        </w:rPr>
        <w:t xml:space="preserve">Nařízení </w:t>
      </w:r>
      <w:r>
        <w:rPr>
          <w:rFonts w:eastAsiaTheme="majorEastAsia"/>
        </w:rPr>
        <w:t xml:space="preserve">stanovuje všeobecné výjimky při přepravě nebezpečných věcí. V příloze jsou uvedeny výjimky v působnosti, označené pro každý druh dopravy – "B" pro vnitrozemské splavné toky, "E" pro přepravu po železnici, "M" pro námořní přepravu a "S" pro přepravu po silnici. </w:t>
      </w:r>
    </w:p>
    <w:p w:rsidR="00805A67" w:rsidRDefault="00805A67" w:rsidP="00D6186E">
      <w:pPr>
        <w:spacing w:before="120" w:after="0"/>
        <w:ind w:firstLine="284"/>
      </w:pPr>
      <w:r>
        <w:rPr>
          <w:rFonts w:eastAsiaTheme="majorEastAsia"/>
        </w:rPr>
        <w:t xml:space="preserve">Zdroj: </w:t>
      </w:r>
      <w:hyperlink r:id="rId23" w:history="1">
        <w:r w:rsidRPr="004D73CB">
          <w:rPr>
            <w:rStyle w:val="Hypertextovodkaz"/>
          </w:rPr>
          <w:t>http://www.gesetze-im-internet.de/ggav_2002/BJNR435000002.html</w:t>
        </w:r>
      </w:hyperlink>
    </w:p>
    <w:p w:rsidR="00D6186E" w:rsidRPr="004D73CB" w:rsidRDefault="00D6186E" w:rsidP="00D6186E">
      <w:pPr>
        <w:spacing w:after="0"/>
        <w:ind w:firstLine="284"/>
        <w:rPr>
          <w:rFonts w:eastAsiaTheme="majorEastAsia"/>
        </w:rPr>
      </w:pPr>
      <w:r>
        <w:t xml:space="preserve">Soubor: </w:t>
      </w:r>
      <w:r w:rsidRPr="00D6186E">
        <w:t>DE_</w:t>
      </w:r>
      <w:r w:rsidR="00B26E3D">
        <w:t>10</w:t>
      </w:r>
      <w:r w:rsidRPr="00D6186E">
        <w:t>_GGAV 2002</w:t>
      </w:r>
      <w:r>
        <w:t>.pdf</w:t>
      </w:r>
    </w:p>
    <w:p w:rsidR="00805A67" w:rsidRPr="00D56FE6" w:rsidRDefault="00805A67" w:rsidP="00805A67">
      <w:pPr>
        <w:pStyle w:val="Odstavecseseznamem"/>
        <w:spacing w:before="120" w:after="120"/>
        <w:ind w:left="284" w:hanging="284"/>
        <w:contextualSpacing w:val="0"/>
        <w:jc w:val="both"/>
        <w:rPr>
          <w:rFonts w:ascii="Times New Roman" w:eastAsiaTheme="majorEastAsia" w:hAnsi="Times New Roman"/>
          <w:b/>
          <w:sz w:val="24"/>
        </w:rPr>
      </w:pPr>
      <w:r w:rsidRPr="00D56FE6">
        <w:rPr>
          <w:rFonts w:ascii="Times New Roman" w:hAnsi="Times New Roman"/>
          <w:b/>
          <w:sz w:val="24"/>
        </w:rPr>
        <w:t>GGKostV – Nařízení o nákladech na opatření při přepravě nebezpečných věcí</w:t>
      </w:r>
    </w:p>
    <w:p w:rsidR="00805A67" w:rsidRPr="002E7441" w:rsidRDefault="00805A67" w:rsidP="00D6186E">
      <w:pPr>
        <w:spacing w:before="120" w:after="0"/>
        <w:ind w:firstLine="284"/>
        <w:rPr>
          <w:rFonts w:eastAsiaTheme="majorEastAsia"/>
        </w:rPr>
      </w:pPr>
      <w:r w:rsidRPr="002E7441">
        <w:rPr>
          <w:rFonts w:eastAsiaTheme="majorEastAsia"/>
        </w:rPr>
        <w:t>Nařízení</w:t>
      </w:r>
      <w:r>
        <w:rPr>
          <w:rFonts w:eastAsiaTheme="majorEastAsia"/>
        </w:rPr>
        <w:t xml:space="preserve"> definuje jednak obecné poplatky spojené s přepravou nebezpečných věcí, tak i poplatky silniční, železniční, námořní, poplatky za udělování licencí a další. </w:t>
      </w:r>
    </w:p>
    <w:p w:rsidR="00805A67" w:rsidRDefault="00805A67" w:rsidP="00805A67">
      <w:pPr>
        <w:spacing w:before="120" w:after="0"/>
        <w:ind w:firstLine="284"/>
      </w:pPr>
      <w:r>
        <w:rPr>
          <w:rFonts w:eastAsiaTheme="majorEastAsia"/>
        </w:rPr>
        <w:t xml:space="preserve">Zdroj: </w:t>
      </w:r>
      <w:hyperlink r:id="rId24" w:history="1">
        <w:r w:rsidRPr="004D73CB">
          <w:rPr>
            <w:rStyle w:val="Hypertextovodkaz"/>
          </w:rPr>
          <w:t>http://www.gesetze-im-internet.de/ggkostv/BJNR024900990.html</w:t>
        </w:r>
      </w:hyperlink>
    </w:p>
    <w:p w:rsidR="00831C38" w:rsidRPr="00D6186E" w:rsidRDefault="00D6186E" w:rsidP="00831C38">
      <w:pPr>
        <w:pStyle w:val="Odstavecseseznamem"/>
        <w:ind w:left="0" w:firstLine="284"/>
        <w:contextualSpacing w:val="0"/>
        <w:jc w:val="both"/>
        <w:rPr>
          <w:rFonts w:ascii="Times New Roman" w:hAnsi="Times New Roman"/>
          <w:sz w:val="24"/>
        </w:rPr>
      </w:pPr>
      <w:r w:rsidRPr="00D3149E">
        <w:rPr>
          <w:rFonts w:ascii="Times New Roman" w:hAnsi="Times New Roman"/>
          <w:sz w:val="24"/>
        </w:rPr>
        <w:t xml:space="preserve">Soubor: </w:t>
      </w:r>
      <w:r w:rsidR="00831C38" w:rsidRPr="00D3149E">
        <w:rPr>
          <w:rFonts w:ascii="Times New Roman" w:hAnsi="Times New Roman"/>
          <w:sz w:val="24"/>
        </w:rPr>
        <w:t>DE_</w:t>
      </w:r>
      <w:r w:rsidR="00B26E3D">
        <w:rPr>
          <w:rFonts w:ascii="Times New Roman" w:hAnsi="Times New Roman"/>
          <w:sz w:val="24"/>
        </w:rPr>
        <w:t>11</w:t>
      </w:r>
      <w:r w:rsidR="00831C38" w:rsidRPr="00D3149E">
        <w:rPr>
          <w:rFonts w:ascii="Times New Roman" w:hAnsi="Times New Roman"/>
          <w:sz w:val="24"/>
        </w:rPr>
        <w:t>_GGKostV - Kostenverordnung für Maßnahmen bei der Beförderung</w:t>
      </w:r>
      <w:r w:rsidR="00831C38" w:rsidRPr="00D6186E">
        <w:rPr>
          <w:rFonts w:ascii="Times New Roman" w:hAnsi="Times New Roman"/>
          <w:sz w:val="24"/>
        </w:rPr>
        <w:t xml:space="preserve"> gefährlicher Güter.pdf</w:t>
      </w:r>
    </w:p>
    <w:p w:rsidR="00805A67" w:rsidRPr="00DB2B59" w:rsidRDefault="00805A67" w:rsidP="00D6186E">
      <w:pPr>
        <w:pStyle w:val="Odstavecseseznamem"/>
        <w:spacing w:before="240"/>
        <w:ind w:left="0" w:firstLine="0"/>
        <w:contextualSpacing w:val="0"/>
        <w:jc w:val="both"/>
        <w:rPr>
          <w:rFonts w:ascii="Times New Roman" w:hAnsi="Times New Roman"/>
          <w:b/>
          <w:sz w:val="24"/>
        </w:rPr>
      </w:pPr>
      <w:r w:rsidRPr="00DB2B59">
        <w:rPr>
          <w:rFonts w:ascii="Times New Roman" w:hAnsi="Times New Roman"/>
          <w:b/>
          <w:sz w:val="24"/>
        </w:rPr>
        <w:t>GGKontrollV – Nařízení o kontrole přepravy nebezpečných nákladů na silnici a v podnicích</w:t>
      </w:r>
    </w:p>
    <w:p w:rsidR="00805A67" w:rsidRPr="002E7441" w:rsidRDefault="00805A67" w:rsidP="00D6186E">
      <w:pPr>
        <w:spacing w:before="120" w:after="0"/>
        <w:ind w:firstLine="284"/>
        <w:rPr>
          <w:rFonts w:eastAsiaTheme="majorEastAsia"/>
        </w:rPr>
      </w:pPr>
      <w:r w:rsidRPr="002E7441">
        <w:rPr>
          <w:rFonts w:eastAsiaTheme="majorEastAsia"/>
        </w:rPr>
        <w:t>Nařízení</w:t>
      </w:r>
      <w:r>
        <w:rPr>
          <w:rFonts w:eastAsiaTheme="majorEastAsia"/>
        </w:rPr>
        <w:t xml:space="preserve"> se vztahuje na kontroly nebezpečných věcí přepravovaných podle zákona o přepravě nebezpečných věcí. Nevztahuje se na přepravu nebezpečných věcí ozbrojených sil Německa. Upravuje podmínky pro kontrolu na silnici či ve firmě a stanovuje obsah kontrolních zpráv. </w:t>
      </w:r>
    </w:p>
    <w:p w:rsidR="00805A67" w:rsidRDefault="00805A67" w:rsidP="00D6186E">
      <w:pPr>
        <w:pStyle w:val="Odstavecseseznamem"/>
        <w:spacing w:before="120"/>
        <w:ind w:left="0" w:firstLine="284"/>
        <w:contextualSpacing w:val="0"/>
        <w:jc w:val="both"/>
        <w:rPr>
          <w:rFonts w:ascii="Times New Roman" w:hAnsi="Times New Roman"/>
          <w:sz w:val="24"/>
        </w:rPr>
      </w:pPr>
      <w:r w:rsidRPr="00D6186E">
        <w:rPr>
          <w:rFonts w:ascii="Times New Roman" w:eastAsiaTheme="majorEastAsia" w:hAnsi="Times New Roman"/>
          <w:sz w:val="24"/>
        </w:rPr>
        <w:t>Zdroj:</w:t>
      </w:r>
      <w:r w:rsidRPr="00D6186E">
        <w:rPr>
          <w:rFonts w:ascii="Times New Roman" w:hAnsi="Times New Roman"/>
          <w:sz w:val="24"/>
        </w:rPr>
        <w:t xml:space="preserve"> </w:t>
      </w:r>
      <w:hyperlink r:id="rId25" w:history="1">
        <w:r w:rsidRPr="00D6186E">
          <w:rPr>
            <w:rStyle w:val="Hypertextovodkaz"/>
            <w:rFonts w:ascii="Times New Roman" w:hAnsi="Times New Roman"/>
            <w:sz w:val="24"/>
          </w:rPr>
          <w:t>http://www.gesetze-im-internet.de/ggkontrollv/BJNR130600997.html</w:t>
        </w:r>
      </w:hyperlink>
    </w:p>
    <w:p w:rsidR="00D6186E" w:rsidRPr="00D6186E" w:rsidRDefault="00D6186E" w:rsidP="00D6186E">
      <w:pPr>
        <w:pStyle w:val="Odstavecseseznamem"/>
        <w:ind w:left="0" w:firstLine="284"/>
        <w:contextualSpacing w:val="0"/>
        <w:jc w:val="both"/>
        <w:rPr>
          <w:rFonts w:ascii="Times New Roman" w:hAnsi="Times New Roman"/>
          <w:sz w:val="24"/>
        </w:rPr>
      </w:pPr>
      <w:r>
        <w:rPr>
          <w:rFonts w:ascii="Times New Roman" w:hAnsi="Times New Roman"/>
          <w:sz w:val="24"/>
        </w:rPr>
        <w:t xml:space="preserve">Soubor: </w:t>
      </w:r>
      <w:r w:rsidR="00831C38" w:rsidRPr="00831C38">
        <w:rPr>
          <w:rFonts w:ascii="Times New Roman" w:hAnsi="Times New Roman"/>
          <w:sz w:val="24"/>
        </w:rPr>
        <w:t>DE_</w:t>
      </w:r>
      <w:r w:rsidR="00B26E3D">
        <w:rPr>
          <w:rFonts w:ascii="Times New Roman" w:hAnsi="Times New Roman"/>
          <w:sz w:val="24"/>
        </w:rPr>
        <w:t>12</w:t>
      </w:r>
      <w:r w:rsidR="00831C38" w:rsidRPr="00831C38">
        <w:rPr>
          <w:rFonts w:ascii="Times New Roman" w:hAnsi="Times New Roman"/>
          <w:sz w:val="24"/>
        </w:rPr>
        <w:t>_GGKontrollV.pdf</w:t>
      </w:r>
    </w:p>
    <w:p w:rsidR="00805A67" w:rsidRPr="005114B2" w:rsidRDefault="00805A67" w:rsidP="00D6186E">
      <w:pPr>
        <w:pStyle w:val="Odstavecseseznamem"/>
        <w:spacing w:before="240"/>
        <w:ind w:left="0" w:firstLine="0"/>
        <w:contextualSpacing w:val="0"/>
        <w:jc w:val="both"/>
        <w:rPr>
          <w:rFonts w:ascii="Times New Roman" w:hAnsi="Times New Roman"/>
          <w:b/>
          <w:color w:val="000000"/>
          <w:sz w:val="24"/>
          <w:shd w:val="clear" w:color="auto" w:fill="FFFFFF"/>
        </w:rPr>
      </w:pPr>
      <w:r w:rsidRPr="005114B2">
        <w:rPr>
          <w:rFonts w:ascii="Times New Roman" w:hAnsi="Times New Roman"/>
          <w:b/>
          <w:color w:val="000000"/>
          <w:sz w:val="24"/>
          <w:shd w:val="clear" w:color="auto" w:fill="FFFFFF"/>
        </w:rPr>
        <w:t>StrlSchV</w:t>
      </w:r>
      <w:r w:rsidRPr="005114B2">
        <w:rPr>
          <w:rFonts w:ascii="Times New Roman" w:hAnsi="Times New Roman"/>
          <w:b/>
          <w:sz w:val="24"/>
        </w:rPr>
        <w:t xml:space="preserve"> – </w:t>
      </w:r>
      <w:r w:rsidRPr="005114B2">
        <w:rPr>
          <w:rFonts w:ascii="Times New Roman" w:hAnsi="Times New Roman"/>
          <w:b/>
          <w:color w:val="000000"/>
          <w:sz w:val="24"/>
          <w:shd w:val="clear" w:color="auto" w:fill="FFFFFF"/>
        </w:rPr>
        <w:t>Strahlenschutzverordnung</w:t>
      </w:r>
    </w:p>
    <w:p w:rsidR="00805A67" w:rsidRPr="00F77CF1" w:rsidRDefault="00805A67" w:rsidP="00805A67">
      <w:pPr>
        <w:pStyle w:val="Odstavecseseznamem"/>
        <w:spacing w:after="120"/>
        <w:ind w:left="284" w:hanging="284"/>
        <w:contextualSpacing w:val="0"/>
        <w:jc w:val="both"/>
        <w:rPr>
          <w:rFonts w:ascii="Times New Roman" w:eastAsiaTheme="majorEastAsia" w:hAnsi="Times New Roman"/>
          <w:b/>
          <w:sz w:val="24"/>
        </w:rPr>
      </w:pPr>
      <w:r w:rsidRPr="00F77CF1">
        <w:rPr>
          <w:rFonts w:ascii="Times New Roman" w:hAnsi="Times New Roman"/>
          <w:b/>
          <w:sz w:val="24"/>
        </w:rPr>
        <w:t>Nařízení o ochraně proti ionizujícímu záření</w:t>
      </w:r>
    </w:p>
    <w:p w:rsidR="00805A67" w:rsidRDefault="00805A67" w:rsidP="00805A67">
      <w:pPr>
        <w:spacing w:after="0"/>
        <w:ind w:firstLine="284"/>
        <w:rPr>
          <w:rFonts w:eastAsiaTheme="majorEastAsia"/>
        </w:rPr>
      </w:pPr>
      <w:r w:rsidRPr="002E7441">
        <w:rPr>
          <w:rFonts w:eastAsiaTheme="majorEastAsia"/>
        </w:rPr>
        <w:t>Nařízení</w:t>
      </w:r>
      <w:r>
        <w:rPr>
          <w:rFonts w:eastAsiaTheme="majorEastAsia"/>
        </w:rPr>
        <w:t xml:space="preserve"> se vztahuje na manipulaci s radioaktivním materiálem, výstavbu a provoz zařízení pro radioaktivní materiál a pro slučování radioaktivních látek při výrobě spotřebního zboží. Stanovuje limity záření, kterých může být při manipulaci a přepravě dosaženo. Každý, kdo plánuje činnosti s radioaktivním materiálem</w:t>
      </w:r>
      <w:r w:rsidRPr="00AC2290">
        <w:rPr>
          <w:rFonts w:eastAsiaTheme="majorEastAsia"/>
          <w:color w:val="FF0000"/>
        </w:rPr>
        <w:t>,</w:t>
      </w:r>
      <w:r>
        <w:rPr>
          <w:rFonts w:eastAsiaTheme="majorEastAsia"/>
        </w:rPr>
        <w:t xml:space="preserve"> musí zajistit, aby tyto limity nebyly překročeny. Pro veřejnost byl lim</w:t>
      </w:r>
      <w:r w:rsidR="00C15EFB">
        <w:rPr>
          <w:rFonts w:eastAsiaTheme="majorEastAsia"/>
        </w:rPr>
        <w:t>it stanoven na 1 mSv (miliSievert</w:t>
      </w:r>
      <w:r>
        <w:rPr>
          <w:rFonts w:eastAsiaTheme="majorEastAsia"/>
        </w:rPr>
        <w:t xml:space="preserve">) a pro osoby, které pracují s danými </w:t>
      </w:r>
      <w:r w:rsidRPr="00D3149E">
        <w:rPr>
          <w:rFonts w:eastAsiaTheme="majorEastAsia"/>
        </w:rPr>
        <w:t>látkami, 20 mSv. Dále je třeba zabránit zbytečnému ozáření během činností, kontaminaci</w:t>
      </w:r>
      <w:r>
        <w:rPr>
          <w:rFonts w:eastAsiaTheme="majorEastAsia"/>
        </w:rPr>
        <w:t xml:space="preserve"> životního prostředí a lidí. </w:t>
      </w:r>
    </w:p>
    <w:p w:rsidR="00805A67" w:rsidRPr="002E7441" w:rsidRDefault="00805A67" w:rsidP="00D3149E">
      <w:pPr>
        <w:spacing w:before="120" w:after="0"/>
        <w:ind w:firstLine="284"/>
        <w:rPr>
          <w:rFonts w:eastAsiaTheme="majorEastAsia"/>
        </w:rPr>
      </w:pPr>
      <w:r>
        <w:rPr>
          <w:rFonts w:eastAsiaTheme="majorEastAsia"/>
        </w:rPr>
        <w:t xml:space="preserve">Definuje požadavky na vnitrostátní a mezistátní přepravu z hlediska záření a aktivity daných látek. Účelem tohoto nařízení je ochrana lidí a přírodního prostředí před škodlivými účinky ionizujícího záření. Při přepravě se musí dbát preventivních ochranných opatření. </w:t>
      </w:r>
    </w:p>
    <w:p w:rsidR="00805A67" w:rsidRDefault="00805A67" w:rsidP="00F835DC">
      <w:pPr>
        <w:tabs>
          <w:tab w:val="left" w:pos="993"/>
          <w:tab w:val="left" w:pos="1418"/>
        </w:tabs>
        <w:spacing w:before="120" w:after="0"/>
        <w:ind w:firstLine="284"/>
      </w:pPr>
      <w:r>
        <w:rPr>
          <w:rFonts w:eastAsiaTheme="majorEastAsia"/>
        </w:rPr>
        <w:t>Zdroj:</w:t>
      </w:r>
      <w:r w:rsidR="00F835DC">
        <w:rPr>
          <w:rFonts w:eastAsiaTheme="majorEastAsia"/>
        </w:rPr>
        <w:tab/>
      </w:r>
      <w:hyperlink r:id="rId26" w:history="1">
        <w:r>
          <w:rPr>
            <w:rStyle w:val="Hypertextovodkaz"/>
          </w:rPr>
          <w:t>http://www.gesetze-im-internet.de/strlschv_2001/BJNR171410001.html</w:t>
        </w:r>
      </w:hyperlink>
    </w:p>
    <w:p w:rsidR="00805A67" w:rsidRDefault="00107CBA" w:rsidP="00F835DC">
      <w:pPr>
        <w:spacing w:after="0"/>
        <w:ind w:left="993" w:firstLine="0"/>
      </w:pPr>
      <w:hyperlink r:id="rId27" w:history="1">
        <w:r w:rsidR="00805A67">
          <w:rPr>
            <w:rStyle w:val="Hypertextovodkaz"/>
          </w:rPr>
          <w:t>http://autorenpartner.de/buch/K7_2011_buch.pdf</w:t>
        </w:r>
      </w:hyperlink>
    </w:p>
    <w:p w:rsidR="00D6186E" w:rsidRPr="004D73CB" w:rsidRDefault="00D6186E" w:rsidP="00B26E3D">
      <w:pPr>
        <w:tabs>
          <w:tab w:val="left" w:pos="1134"/>
        </w:tabs>
        <w:spacing w:after="0"/>
        <w:ind w:firstLine="284"/>
        <w:rPr>
          <w:rFonts w:eastAsiaTheme="majorEastAsia"/>
        </w:rPr>
      </w:pPr>
      <w:r>
        <w:t>Sou</w:t>
      </w:r>
      <w:r w:rsidR="00F835DC">
        <w:t>bor:</w:t>
      </w:r>
      <w:r w:rsidR="00F835DC">
        <w:tab/>
      </w:r>
      <w:r w:rsidRPr="00D6186E">
        <w:t>DE_</w:t>
      </w:r>
      <w:r w:rsidR="00831C38">
        <w:t>1</w:t>
      </w:r>
      <w:r w:rsidR="00B26E3D">
        <w:t>3</w:t>
      </w:r>
      <w:r w:rsidRPr="00D6186E">
        <w:t>_StrlSchV - Verordnung über den Schutz vor Schäden durch ionisierende Strahlen</w:t>
      </w:r>
      <w:r>
        <w:t>.pdf</w:t>
      </w:r>
      <w:r w:rsidR="00B26E3D">
        <w:t xml:space="preserve">, </w:t>
      </w:r>
      <w:r w:rsidR="00831C38">
        <w:rPr>
          <w:rFonts w:eastAsiaTheme="majorEastAsia"/>
        </w:rPr>
        <w:t>DE_1</w:t>
      </w:r>
      <w:r w:rsidR="00B26E3D">
        <w:rPr>
          <w:rFonts w:eastAsiaTheme="majorEastAsia"/>
        </w:rPr>
        <w:t>4</w:t>
      </w:r>
      <w:r w:rsidRPr="00D6186E">
        <w:rPr>
          <w:rFonts w:eastAsiaTheme="majorEastAsia"/>
        </w:rPr>
        <w:t>_K7_2011_buch</w:t>
      </w:r>
      <w:r>
        <w:rPr>
          <w:rFonts w:eastAsiaTheme="majorEastAsia"/>
        </w:rPr>
        <w:t>.pdf</w:t>
      </w:r>
    </w:p>
    <w:p w:rsidR="00805A67" w:rsidRPr="00071287" w:rsidRDefault="00805A67" w:rsidP="00805A67">
      <w:pPr>
        <w:pStyle w:val="Nadpis3"/>
        <w:spacing w:after="120"/>
        <w:rPr>
          <w:rFonts w:ascii="Times New Roman" w:eastAsiaTheme="majorEastAsia" w:hAnsi="Times New Roman"/>
          <w:sz w:val="28"/>
        </w:rPr>
      </w:pPr>
      <w:bookmarkStart w:id="8" w:name="_Toc326741489"/>
      <w:r w:rsidRPr="00071287">
        <w:rPr>
          <w:rFonts w:ascii="Times New Roman" w:eastAsiaTheme="majorEastAsia" w:hAnsi="Times New Roman"/>
          <w:sz w:val="28"/>
        </w:rPr>
        <w:lastRenderedPageBreak/>
        <w:t>Povinnosti a specifika přepravy</w:t>
      </w:r>
      <w:bookmarkEnd w:id="8"/>
    </w:p>
    <w:p w:rsidR="00805A67" w:rsidRDefault="00805A67" w:rsidP="00805A67">
      <w:pPr>
        <w:spacing w:after="0"/>
        <w:ind w:firstLine="284"/>
        <w:rPr>
          <w:rFonts w:eastAsiaTheme="majorEastAsia"/>
        </w:rPr>
      </w:pPr>
      <w:r>
        <w:rPr>
          <w:rFonts w:eastAsiaTheme="majorEastAsia"/>
        </w:rPr>
        <w:t xml:space="preserve">Každá přeprava nebezpečných věcí musí být evidována v přepravních dokumentech. </w:t>
      </w:r>
      <w:r w:rsidRPr="00F77CF1">
        <w:rPr>
          <w:rFonts w:eastAsiaTheme="majorEastAsia"/>
        </w:rPr>
        <w:t>Je zde</w:t>
      </w:r>
      <w:r>
        <w:rPr>
          <w:rFonts w:eastAsiaTheme="majorEastAsia"/>
        </w:rPr>
        <w:t xml:space="preserve"> uvedena klasifikace podle UN-čísla, technický název a obal (kategorie obalů). Předem musí být známá jména odesílatele a příjemce. Od 1. července 2009 musí být také v přepravním dokumentu uvedeno omezení týkající se vjezdu do tunelů. Do dokumentu je uvedena kategorie daného tunelu podle patných předpisů. Během přepravy po silnici je povinností mít i písemné pokyny v normalizované formě dle mezinárodních předpisů (ADR). Ty musí být psané jazykem dané země a v případě mezinárodní přepravy i jazyky států, kterými náklad projíždí. Současně lze písemné pokyny vytvořené pro řidiče a záchranné složky naleznout i v ERICards (Emergency Response Intervention Cards). </w:t>
      </w:r>
    </w:p>
    <w:p w:rsidR="00805A67" w:rsidRPr="00071287" w:rsidRDefault="00805A67" w:rsidP="00805A67">
      <w:pPr>
        <w:pStyle w:val="Nadpis3"/>
        <w:spacing w:after="120"/>
        <w:rPr>
          <w:rFonts w:ascii="Times New Roman" w:eastAsiaTheme="majorEastAsia" w:hAnsi="Times New Roman"/>
          <w:sz w:val="28"/>
        </w:rPr>
      </w:pPr>
      <w:bookmarkStart w:id="9" w:name="_Toc326741490"/>
      <w:r w:rsidRPr="00071287">
        <w:rPr>
          <w:rFonts w:ascii="Times New Roman" w:eastAsiaTheme="majorEastAsia" w:hAnsi="Times New Roman"/>
          <w:sz w:val="28"/>
        </w:rPr>
        <w:t>Přeprava radioaktivního materiálu</w:t>
      </w:r>
      <w:bookmarkEnd w:id="9"/>
    </w:p>
    <w:p w:rsidR="00805A67" w:rsidRDefault="00805A67" w:rsidP="00994EBE">
      <w:pPr>
        <w:ind w:firstLine="284"/>
        <w:rPr>
          <w:rFonts w:eastAsiaTheme="majorEastAsia"/>
        </w:rPr>
      </w:pPr>
      <w:r w:rsidRPr="001E5AD7">
        <w:rPr>
          <w:rFonts w:eastAsiaTheme="majorEastAsia"/>
        </w:rPr>
        <w:t>Pro přepravu radioaktivního matriálu platí, jak již bylo zmíněno, zvláštní předpisy a opatření. Pro přepravu je vyžadování speciální povolení, které uděluje Spolkový úřad pro radiaci (</w:t>
      </w:r>
      <w:r w:rsidRPr="001E5AD7">
        <w:rPr>
          <w:color w:val="000000"/>
          <w:shd w:val="clear" w:color="auto" w:fill="FFFFFF"/>
        </w:rPr>
        <w:t>Bundesamt für Strahlenschutz)</w:t>
      </w:r>
      <w:r w:rsidRPr="001E5AD7">
        <w:rPr>
          <w:rFonts w:eastAsiaTheme="majorEastAsia"/>
        </w:rPr>
        <w:t xml:space="preserve">. </w:t>
      </w:r>
      <w:r>
        <w:rPr>
          <w:rFonts w:eastAsiaTheme="majorEastAsia"/>
        </w:rPr>
        <w:t xml:space="preserve">Pouze při splnění určitých podmínek a pro přepravu nízko radioaktivních matriálů není vyžadováno povolení. Příslušný orgán může udělit povolení pro přepravu pouze po splnění podmínek pro získání tohoto povolení, které jsou definovány zákonem. V žádosti o přepravu musí být </w:t>
      </w:r>
      <w:r w:rsidRPr="00597018">
        <w:rPr>
          <w:rFonts w:eastAsiaTheme="majorEastAsia"/>
        </w:rPr>
        <w:t>uvedeno,</w:t>
      </w:r>
      <w:r>
        <w:rPr>
          <w:rFonts w:eastAsiaTheme="majorEastAsia"/>
        </w:rPr>
        <w:t xml:space="preserve"> jaké materiály se budou přepravovat (druh a množství), v jakých kontejnerech, kdo bude doprovázet transport, jaký druh dopravního prostředku bude využit, po jaké cestě se bude transport pohybovat a jaké bezpečnostní opatření se plánují. Spolkový úřad pro radiaci zkoumá, zda jsou dodržovány bezpečnostní požadavky pro přepravu radioaktivních materiálů a </w:t>
      </w:r>
      <w:r w:rsidRPr="00ED7505">
        <w:rPr>
          <w:rFonts w:eastAsiaTheme="majorEastAsia"/>
        </w:rPr>
        <w:t xml:space="preserve">příslušné předpisy pro přepravu nebezpečných </w:t>
      </w:r>
      <w:r w:rsidR="00D3149E">
        <w:rPr>
          <w:rFonts w:eastAsiaTheme="majorEastAsia"/>
        </w:rPr>
        <w:t>věcí</w:t>
      </w:r>
      <w:r w:rsidRPr="00ED7505">
        <w:rPr>
          <w:rFonts w:eastAsiaTheme="majorEastAsia"/>
        </w:rPr>
        <w:t>. Kontrolou potvrzující, že jsou splněny podmínky, se rozumí bezpečnost balení, odbornost žadatele a osob, které přepravu provádí,</w:t>
      </w:r>
      <w:r>
        <w:rPr>
          <w:rFonts w:eastAsiaTheme="majorEastAsia"/>
        </w:rPr>
        <w:t xml:space="preserve"> finanční zabezpečení a další podmínky definované příslušným zákonem. </w:t>
      </w:r>
    </w:p>
    <w:p w:rsidR="00ED7505" w:rsidRDefault="00805A67" w:rsidP="00831C38">
      <w:pPr>
        <w:spacing w:after="0"/>
        <w:ind w:firstLine="284"/>
        <w:jc w:val="center"/>
        <w:rPr>
          <w:rFonts w:eastAsiaTheme="majorEastAsia"/>
        </w:rPr>
      </w:pPr>
      <w:r>
        <w:rPr>
          <w:rFonts w:eastAsiaTheme="majorEastAsia"/>
          <w:noProof/>
        </w:rPr>
        <w:drawing>
          <wp:inline distT="0" distB="0" distL="0" distR="0">
            <wp:extent cx="4446167" cy="3028950"/>
            <wp:effectExtent l="19050" t="0" r="0" b="0"/>
            <wp:docPr id="18" name="Obrázek 2" descr="castor_kontej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or_kontejner.jpg"/>
                    <pic:cNvPicPr/>
                  </pic:nvPicPr>
                  <pic:blipFill>
                    <a:blip r:embed="rId28" cstate="print"/>
                    <a:stretch>
                      <a:fillRect/>
                    </a:stretch>
                  </pic:blipFill>
                  <pic:spPr>
                    <a:xfrm>
                      <a:off x="0" y="0"/>
                      <a:ext cx="4446167" cy="3028950"/>
                    </a:xfrm>
                    <a:prstGeom prst="rect">
                      <a:avLst/>
                    </a:prstGeom>
                  </pic:spPr>
                </pic:pic>
              </a:graphicData>
            </a:graphic>
          </wp:inline>
        </w:drawing>
      </w:r>
    </w:p>
    <w:p w:rsidR="00831C38" w:rsidRPr="0014172A" w:rsidRDefault="00831C38" w:rsidP="001618D4">
      <w:pPr>
        <w:spacing w:before="120" w:after="0"/>
        <w:ind w:firstLine="284"/>
        <w:jc w:val="center"/>
        <w:rPr>
          <w:rFonts w:eastAsiaTheme="majorEastAsia"/>
          <w:i/>
        </w:rPr>
      </w:pPr>
      <w:r w:rsidRPr="00831C38">
        <w:rPr>
          <w:rFonts w:eastAsiaTheme="majorEastAsia"/>
          <w:i/>
        </w:rPr>
        <w:t xml:space="preserve">DE - Obr. 2. </w:t>
      </w:r>
      <w:r w:rsidR="0014172A">
        <w:rPr>
          <w:rFonts w:eastAsiaTheme="majorEastAsia"/>
          <w:i/>
        </w:rPr>
        <w:t>–</w:t>
      </w:r>
      <w:r w:rsidRPr="00831C38">
        <w:rPr>
          <w:rFonts w:eastAsiaTheme="majorEastAsia"/>
          <w:i/>
        </w:rPr>
        <w:t xml:space="preserve"> CASTOR</w:t>
      </w:r>
      <w:r w:rsidR="0014172A">
        <w:rPr>
          <w:rFonts w:eastAsiaTheme="majorEastAsia"/>
          <w:i/>
        </w:rPr>
        <w:t xml:space="preserve">, Zdroj </w:t>
      </w:r>
      <w:r w:rsidR="0014172A">
        <w:rPr>
          <w:rFonts w:eastAsiaTheme="majorEastAsia"/>
          <w:i/>
          <w:lang w:val="en-US"/>
        </w:rPr>
        <w:t>[DE17]</w:t>
      </w:r>
    </w:p>
    <w:p w:rsidR="00805A67" w:rsidRDefault="00805A67" w:rsidP="00F425B8">
      <w:pPr>
        <w:spacing w:before="120" w:after="0"/>
        <w:rPr>
          <w:rFonts w:eastAsiaTheme="majorEastAsia"/>
        </w:rPr>
      </w:pPr>
      <w:r>
        <w:rPr>
          <w:rFonts w:eastAsiaTheme="majorEastAsia"/>
        </w:rPr>
        <w:t xml:space="preserve">Pro přepravu radioaktivních materiálů se využívá speciálních kontejnerů, které se liší podle druhu radiace přepravovaných materiálů. </w:t>
      </w:r>
      <w:r w:rsidRPr="001E5AD7">
        <w:rPr>
          <w:rFonts w:eastAsiaTheme="majorEastAsia"/>
        </w:rPr>
        <w:t>Pro vlastní přepravu vysoce radioaktivních materiálů je používána speciální nádoba, tzv</w:t>
      </w:r>
      <w:r w:rsidR="00921F42">
        <w:rPr>
          <w:rFonts w:eastAsiaTheme="majorEastAsia"/>
        </w:rPr>
        <w:t>.</w:t>
      </w:r>
      <w:r w:rsidRPr="001E5AD7">
        <w:rPr>
          <w:rFonts w:eastAsiaTheme="majorEastAsia"/>
        </w:rPr>
        <w:t xml:space="preserve"> Castor (Cask for storage and transport of radioaktive material). V tomto kontejneru se přepravuje</w:t>
      </w:r>
      <w:r>
        <w:rPr>
          <w:rFonts w:eastAsiaTheme="majorEastAsia"/>
        </w:rPr>
        <w:t xml:space="preserve"> zejména vyhořelé palivo z jaderných </w:t>
      </w:r>
      <w:r>
        <w:rPr>
          <w:rFonts w:eastAsiaTheme="majorEastAsia"/>
        </w:rPr>
        <w:lastRenderedPageBreak/>
        <w:t xml:space="preserve">elektráren nebo odpady z přepracování radioaktivních materiálů. Těchto kontejnerů se využívá jak v silniční, tak železniční přepravě, která při přepravě vysoce radioaktivních materiálů převažuje, zejména při transportu z Francie do Německa. Silniční přepravy se využívá jen tam, kde není možnost využít železnici, tj. jen několik kilometrů mezi překladištěm v Dannenbergu a úložištěm v Gorlebenu. </w:t>
      </w:r>
    </w:p>
    <w:p w:rsidR="00ED7505" w:rsidRDefault="00805A67" w:rsidP="00AD3D6B">
      <w:pPr>
        <w:spacing w:after="0"/>
        <w:ind w:firstLine="284"/>
        <w:jc w:val="center"/>
        <w:rPr>
          <w:rFonts w:eastAsiaTheme="majorEastAsia"/>
        </w:rPr>
      </w:pPr>
      <w:r>
        <w:rPr>
          <w:rFonts w:eastAsiaTheme="majorEastAsia"/>
          <w:noProof/>
        </w:rPr>
        <w:drawing>
          <wp:inline distT="0" distB="0" distL="0" distR="0">
            <wp:extent cx="3886200" cy="3306033"/>
            <wp:effectExtent l="19050" t="0" r="0" b="0"/>
            <wp:docPr id="19" name="Obrázek 1" descr="cas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or.jpg"/>
                    <pic:cNvPicPr/>
                  </pic:nvPicPr>
                  <pic:blipFill>
                    <a:blip r:embed="rId29" cstate="print"/>
                    <a:stretch>
                      <a:fillRect/>
                    </a:stretch>
                  </pic:blipFill>
                  <pic:spPr>
                    <a:xfrm>
                      <a:off x="0" y="0"/>
                      <a:ext cx="3886200" cy="3306033"/>
                    </a:xfrm>
                    <a:prstGeom prst="rect">
                      <a:avLst/>
                    </a:prstGeom>
                  </pic:spPr>
                </pic:pic>
              </a:graphicData>
            </a:graphic>
          </wp:inline>
        </w:drawing>
      </w:r>
    </w:p>
    <w:p w:rsidR="00AD3D6B" w:rsidRPr="00994EBE" w:rsidRDefault="00AD3D6B" w:rsidP="001618D4">
      <w:pPr>
        <w:spacing w:before="120" w:after="0"/>
        <w:ind w:firstLine="284"/>
        <w:jc w:val="center"/>
        <w:rPr>
          <w:rFonts w:eastAsiaTheme="majorEastAsia"/>
          <w:i/>
        </w:rPr>
      </w:pPr>
      <w:r w:rsidRPr="00AD3D6B">
        <w:rPr>
          <w:rFonts w:eastAsiaTheme="majorEastAsia"/>
          <w:i/>
        </w:rPr>
        <w:t xml:space="preserve">DE – Obr. 3. – Trasa </w:t>
      </w:r>
      <w:r w:rsidR="00F835DC">
        <w:rPr>
          <w:rFonts w:eastAsiaTheme="majorEastAsia"/>
          <w:i/>
        </w:rPr>
        <w:t>radioaktivního odpadu</w:t>
      </w:r>
      <w:r w:rsidR="00994EBE">
        <w:rPr>
          <w:rFonts w:eastAsiaTheme="majorEastAsia"/>
          <w:i/>
        </w:rPr>
        <w:t xml:space="preserve">, Zdroj </w:t>
      </w:r>
      <w:r w:rsidR="00994EBE" w:rsidRPr="00994EBE">
        <w:rPr>
          <w:rFonts w:eastAsiaTheme="majorEastAsia"/>
          <w:i/>
          <w:lang w:val="pl-PL"/>
        </w:rPr>
        <w:t>[</w:t>
      </w:r>
      <w:r w:rsidR="0014172A">
        <w:rPr>
          <w:rFonts w:eastAsiaTheme="majorEastAsia"/>
          <w:i/>
          <w:lang w:val="pl-PL"/>
        </w:rPr>
        <w:t>DE18</w:t>
      </w:r>
      <w:r w:rsidR="00994EBE" w:rsidRPr="00994EBE">
        <w:rPr>
          <w:rFonts w:eastAsiaTheme="majorEastAsia"/>
          <w:i/>
          <w:lang w:val="pl-PL"/>
        </w:rPr>
        <w:t>]</w:t>
      </w:r>
    </w:p>
    <w:p w:rsidR="00805A67" w:rsidRDefault="00805A67" w:rsidP="00F835DC">
      <w:pPr>
        <w:spacing w:before="120" w:after="0"/>
        <w:ind w:firstLine="284"/>
        <w:rPr>
          <w:rFonts w:eastAsiaTheme="majorEastAsia"/>
        </w:rPr>
      </w:pPr>
      <w:r>
        <w:rPr>
          <w:rFonts w:eastAsiaTheme="majorEastAsia"/>
        </w:rPr>
        <w:t>Na přiložené mapě</w:t>
      </w:r>
      <w:r w:rsidR="00AD3D6B">
        <w:rPr>
          <w:rFonts w:eastAsiaTheme="majorEastAsia"/>
        </w:rPr>
        <w:t xml:space="preserve"> (</w:t>
      </w:r>
      <w:r w:rsidR="00AD3D6B" w:rsidRPr="00AD3D6B">
        <w:rPr>
          <w:rFonts w:eastAsiaTheme="majorEastAsia"/>
          <w:i/>
        </w:rPr>
        <w:t>DE – Obr. 3. – Trasa radioaktivního odpadu</w:t>
      </w:r>
      <w:r w:rsidR="00AD3D6B">
        <w:rPr>
          <w:rFonts w:eastAsiaTheme="majorEastAsia"/>
          <w:i/>
        </w:rPr>
        <w:t>)</w:t>
      </w:r>
      <w:r>
        <w:rPr>
          <w:rFonts w:eastAsiaTheme="majorEastAsia"/>
        </w:rPr>
        <w:t xml:space="preserve"> je vidět trasa vysoce radioaktivního odpadu z francouzského La Haque do </w:t>
      </w:r>
      <w:r w:rsidR="00F835DC">
        <w:rPr>
          <w:rFonts w:eastAsiaTheme="majorEastAsia"/>
        </w:rPr>
        <w:t xml:space="preserve">německého úložiště v Gorlebenu. </w:t>
      </w:r>
      <w:r>
        <w:rPr>
          <w:rFonts w:eastAsiaTheme="majorEastAsia"/>
        </w:rPr>
        <w:t xml:space="preserve">Konvoj sleduje po celé trase doprovod policistů a helikoptéra. </w:t>
      </w:r>
    </w:p>
    <w:p w:rsidR="00805A67" w:rsidRDefault="00805A67" w:rsidP="00F835DC">
      <w:pPr>
        <w:tabs>
          <w:tab w:val="left" w:pos="1134"/>
        </w:tabs>
        <w:spacing w:before="120" w:after="0"/>
        <w:ind w:firstLine="284"/>
      </w:pPr>
      <w:r>
        <w:rPr>
          <w:rFonts w:eastAsiaTheme="majorEastAsia"/>
        </w:rPr>
        <w:t>Zdroje:</w:t>
      </w:r>
      <w:r w:rsidR="00F835DC">
        <w:tab/>
      </w:r>
      <w:hyperlink r:id="rId30" w:history="1">
        <w:r>
          <w:rPr>
            <w:rStyle w:val="Hypertextovodkaz"/>
          </w:rPr>
          <w:t>http://www.bmu.de/atomenergie_ver_und_entsorgung/transporte/doc/40315.php</w:t>
        </w:r>
      </w:hyperlink>
      <w:r w:rsidR="00F835DC">
        <w:t xml:space="preserve">, </w:t>
      </w:r>
    </w:p>
    <w:p w:rsidR="00805A67" w:rsidRDefault="00107CBA" w:rsidP="00F835DC">
      <w:pPr>
        <w:spacing w:after="0"/>
        <w:ind w:firstLine="1134"/>
      </w:pPr>
      <w:hyperlink r:id="rId31" w:history="1">
        <w:r w:rsidR="00805A67">
          <w:rPr>
            <w:rStyle w:val="Hypertextovodkaz"/>
          </w:rPr>
          <w:t>http://www.spiegel.de/politik/deutschland/0,1518,800489,00.html</w:t>
        </w:r>
      </w:hyperlink>
    </w:p>
    <w:p w:rsidR="00F835DC" w:rsidRDefault="00F835DC" w:rsidP="00F835DC">
      <w:pPr>
        <w:tabs>
          <w:tab w:val="left" w:pos="1134"/>
        </w:tabs>
        <w:spacing w:after="0"/>
        <w:ind w:firstLine="284"/>
      </w:pPr>
      <w:r>
        <w:t>Soubor:</w:t>
      </w:r>
      <w:r>
        <w:tab/>
      </w:r>
      <w:r w:rsidRPr="00F835DC">
        <w:t>DE_</w:t>
      </w:r>
      <w:r w:rsidR="00B26E3D">
        <w:t>15</w:t>
      </w:r>
      <w:r w:rsidRPr="00F835DC">
        <w:t xml:space="preserve">_ Atomenergie _ Ver- und Entsorgung </w:t>
      </w:r>
      <w:r>
        <w:t>–</w:t>
      </w:r>
      <w:r w:rsidRPr="00F835DC">
        <w:t xml:space="preserve"> Transporte</w:t>
      </w:r>
      <w:r>
        <w:t>. pdf</w:t>
      </w:r>
    </w:p>
    <w:p w:rsidR="00F835DC" w:rsidRDefault="00F835DC" w:rsidP="00F835DC">
      <w:pPr>
        <w:spacing w:after="0"/>
        <w:ind w:left="1134" w:firstLine="0"/>
        <w:rPr>
          <w:rFonts w:eastAsiaTheme="majorEastAsia"/>
        </w:rPr>
      </w:pPr>
      <w:r w:rsidRPr="00F835DC">
        <w:t>DE_1</w:t>
      </w:r>
      <w:r w:rsidR="00B26E3D">
        <w:t>6</w:t>
      </w:r>
      <w:r w:rsidRPr="00F835DC">
        <w:t>_Zwischenlager: Castor-Transport erreicht Gorleben</w:t>
      </w:r>
      <w:r>
        <w:t>. pdf</w:t>
      </w:r>
    </w:p>
    <w:p w:rsidR="00805A67" w:rsidRDefault="00805A67" w:rsidP="00805A67">
      <w:pPr>
        <w:spacing w:before="120" w:after="0"/>
        <w:ind w:firstLine="284"/>
        <w:rPr>
          <w:rFonts w:eastAsiaTheme="majorEastAsia"/>
        </w:rPr>
      </w:pPr>
      <w:r>
        <w:rPr>
          <w:rFonts w:eastAsiaTheme="majorEastAsia"/>
        </w:rPr>
        <w:t>Při přepravě vysoce radioaktivního materiálu po silnici musí být splněny i následující technické požadavky:</w:t>
      </w:r>
    </w:p>
    <w:p w:rsidR="00805A67" w:rsidRPr="00953034" w:rsidRDefault="00805A67" w:rsidP="00805A67">
      <w:pPr>
        <w:pStyle w:val="Odstavecseseznamem"/>
        <w:numPr>
          <w:ilvl w:val="0"/>
          <w:numId w:val="43"/>
        </w:numPr>
        <w:rPr>
          <w:rFonts w:ascii="Times New Roman" w:eastAsiaTheme="majorEastAsia" w:hAnsi="Times New Roman"/>
          <w:sz w:val="24"/>
        </w:rPr>
      </w:pPr>
      <w:r w:rsidRPr="00953034">
        <w:rPr>
          <w:rFonts w:ascii="Times New Roman" w:eastAsiaTheme="majorEastAsia" w:hAnsi="Times New Roman"/>
          <w:sz w:val="24"/>
        </w:rPr>
        <w:t xml:space="preserve">stálá dostupnost přes mobilní telefon </w:t>
      </w:r>
    </w:p>
    <w:p w:rsidR="00805A67" w:rsidRPr="00953034" w:rsidRDefault="00805A67" w:rsidP="00805A67">
      <w:pPr>
        <w:pStyle w:val="Odstavecseseznamem"/>
        <w:numPr>
          <w:ilvl w:val="0"/>
          <w:numId w:val="43"/>
        </w:numPr>
        <w:jc w:val="both"/>
        <w:rPr>
          <w:rFonts w:ascii="Times New Roman" w:eastAsiaTheme="majorEastAsia" w:hAnsi="Times New Roman"/>
          <w:sz w:val="24"/>
        </w:rPr>
      </w:pPr>
      <w:r w:rsidRPr="00953034">
        <w:rPr>
          <w:rFonts w:ascii="Times New Roman" w:eastAsiaTheme="majorEastAsia" w:hAnsi="Times New Roman"/>
          <w:sz w:val="24"/>
        </w:rPr>
        <w:t>lokalizace vozidla prostřednictvím telematických systémů (GPS / Fleetboard)</w:t>
      </w:r>
    </w:p>
    <w:p w:rsidR="00805A67" w:rsidRPr="00953034" w:rsidRDefault="00805A67" w:rsidP="00805A67">
      <w:pPr>
        <w:pStyle w:val="Odstavecseseznamem"/>
        <w:numPr>
          <w:ilvl w:val="0"/>
          <w:numId w:val="43"/>
        </w:numPr>
        <w:jc w:val="both"/>
        <w:rPr>
          <w:rFonts w:ascii="Times New Roman" w:eastAsiaTheme="majorEastAsia" w:hAnsi="Times New Roman"/>
          <w:sz w:val="24"/>
        </w:rPr>
      </w:pPr>
      <w:r w:rsidRPr="00953034">
        <w:rPr>
          <w:rFonts w:ascii="Times New Roman" w:eastAsiaTheme="majorEastAsia" w:hAnsi="Times New Roman"/>
          <w:sz w:val="24"/>
        </w:rPr>
        <w:t>kontrola zámků, těsnění, nákladového prostoru</w:t>
      </w:r>
    </w:p>
    <w:p w:rsidR="00805A67" w:rsidRPr="00953034" w:rsidRDefault="00805A67" w:rsidP="001618D4">
      <w:pPr>
        <w:spacing w:before="120" w:after="0"/>
        <w:ind w:firstLine="284"/>
        <w:rPr>
          <w:rFonts w:eastAsiaTheme="majorEastAsia"/>
        </w:rPr>
      </w:pPr>
      <w:r w:rsidRPr="00953034">
        <w:rPr>
          <w:rFonts w:eastAsiaTheme="majorEastAsia"/>
        </w:rPr>
        <w:t xml:space="preserve">Kromě daných technických požadavků jsou udány i organizační požadavky, jako jsou například uzavření okna v případě opuštění vozidla, či předem plánované zastávky. Po silnici probíhá výhradně přeprava radioaktivních materiálů pro lékařské účely </w:t>
      </w:r>
      <w:r w:rsidRPr="00704137">
        <w:rPr>
          <w:rFonts w:eastAsiaTheme="majorEastAsia"/>
        </w:rPr>
        <w:t xml:space="preserve">a </w:t>
      </w:r>
      <w:r w:rsidRPr="00953034">
        <w:rPr>
          <w:rFonts w:eastAsiaTheme="majorEastAsia"/>
        </w:rPr>
        <w:t xml:space="preserve">nízko až středně radioaktivních materiálů. Tyto materiály jsou uvedeny v tabulce v přiloženém souboru </w:t>
      </w:r>
      <w:r w:rsidR="001618D4" w:rsidRPr="001618D4">
        <w:rPr>
          <w:rFonts w:eastAsiaTheme="majorEastAsia"/>
          <w:i/>
        </w:rPr>
        <w:t>DE_14_</w:t>
      </w:r>
      <w:r w:rsidRPr="00953034">
        <w:rPr>
          <w:rFonts w:eastAsiaTheme="majorEastAsia"/>
          <w:i/>
        </w:rPr>
        <w:t>radioaktivní_materiály_přeprava.pdf</w:t>
      </w:r>
      <w:r w:rsidRPr="00953034">
        <w:rPr>
          <w:rFonts w:eastAsiaTheme="majorEastAsia"/>
        </w:rPr>
        <w:t>, kde je znázorněno</w:t>
      </w:r>
      <w:r w:rsidRPr="001618D4">
        <w:rPr>
          <w:rFonts w:eastAsiaTheme="majorEastAsia"/>
        </w:rPr>
        <w:t xml:space="preserve">, </w:t>
      </w:r>
      <w:r w:rsidRPr="00953034">
        <w:rPr>
          <w:rFonts w:eastAsiaTheme="majorEastAsia"/>
        </w:rPr>
        <w:t>který druh materiálu smí být přepravován</w:t>
      </w:r>
      <w:r w:rsidR="001618D4">
        <w:rPr>
          <w:rFonts w:eastAsiaTheme="majorEastAsia"/>
        </w:rPr>
        <w:t xml:space="preserve"> dle druhu dopravního prostředku</w:t>
      </w:r>
      <w:r w:rsidRPr="00953034">
        <w:rPr>
          <w:rFonts w:eastAsiaTheme="majorEastAsia"/>
        </w:rPr>
        <w:t xml:space="preserve">, v jakém množství a jak často. </w:t>
      </w:r>
    </w:p>
    <w:p w:rsidR="00805A67" w:rsidRPr="00953034" w:rsidRDefault="00805A67" w:rsidP="001618D4">
      <w:pPr>
        <w:spacing w:before="120" w:after="0"/>
        <w:ind w:firstLine="284"/>
        <w:rPr>
          <w:rFonts w:eastAsiaTheme="majorEastAsia"/>
        </w:rPr>
      </w:pPr>
      <w:r w:rsidRPr="00953034">
        <w:rPr>
          <w:rFonts w:eastAsiaTheme="majorEastAsia"/>
        </w:rPr>
        <w:t>Dozor při přepravě jaderného paliva je povinností státních orgánů, mimo železniční a letecké přepravy. Při přepravě po železnic</w:t>
      </w:r>
      <w:r w:rsidRPr="001618D4">
        <w:rPr>
          <w:rFonts w:eastAsiaTheme="majorEastAsia"/>
        </w:rPr>
        <w:t xml:space="preserve">i </w:t>
      </w:r>
      <w:r w:rsidRPr="00953034">
        <w:rPr>
          <w:rFonts w:eastAsiaTheme="majorEastAsia"/>
        </w:rPr>
        <w:t xml:space="preserve">zajišťuje dohled Spolkový železniční úřad a při letecké přepravě Spolkový letecký úřad. Vydané povolení potřebné pro přepravu </w:t>
      </w:r>
      <w:r w:rsidRPr="00953034">
        <w:rPr>
          <w:rFonts w:eastAsiaTheme="majorEastAsia"/>
        </w:rPr>
        <w:lastRenderedPageBreak/>
        <w:t xml:space="preserve">radioaktivních materiálů platí pouze pro území SRN, schválení vývozu do zahraničí dává Spolkový úřad pro hospodářství a kontrolu vývozu. </w:t>
      </w:r>
    </w:p>
    <w:p w:rsidR="00805A67" w:rsidRDefault="00805A67" w:rsidP="001618D4">
      <w:pPr>
        <w:spacing w:before="120" w:after="0"/>
        <w:ind w:firstLine="284"/>
      </w:pPr>
      <w:r>
        <w:rPr>
          <w:rFonts w:eastAsiaTheme="majorEastAsia"/>
        </w:rPr>
        <w:t xml:space="preserve">Zdroj: </w:t>
      </w:r>
      <w:hyperlink r:id="rId32" w:history="1">
        <w:r>
          <w:rPr>
            <w:rStyle w:val="Hypertextovodkaz"/>
          </w:rPr>
          <w:t>http://autorenpartner.de/buch/K7_2011_buch.pdf</w:t>
        </w:r>
      </w:hyperlink>
    </w:p>
    <w:p w:rsidR="001618D4" w:rsidRPr="004D73CB" w:rsidRDefault="001618D4" w:rsidP="001618D4">
      <w:pPr>
        <w:spacing w:after="0"/>
        <w:ind w:firstLine="284"/>
        <w:rPr>
          <w:rFonts w:eastAsiaTheme="majorEastAsia"/>
        </w:rPr>
      </w:pPr>
      <w:r>
        <w:t xml:space="preserve">Soubor: </w:t>
      </w:r>
      <w:r>
        <w:rPr>
          <w:rFonts w:eastAsiaTheme="majorEastAsia"/>
        </w:rPr>
        <w:t>DE_1</w:t>
      </w:r>
      <w:r w:rsidR="00B26E3D">
        <w:rPr>
          <w:rFonts w:eastAsiaTheme="majorEastAsia"/>
        </w:rPr>
        <w:t>4</w:t>
      </w:r>
      <w:r w:rsidRPr="00D6186E">
        <w:rPr>
          <w:rFonts w:eastAsiaTheme="majorEastAsia"/>
        </w:rPr>
        <w:t>_K7_2011_buch</w:t>
      </w:r>
      <w:r>
        <w:rPr>
          <w:rFonts w:eastAsiaTheme="majorEastAsia"/>
        </w:rPr>
        <w:t>.pdf</w:t>
      </w:r>
    </w:p>
    <w:p w:rsidR="00805A67" w:rsidRPr="00071287" w:rsidRDefault="00805A67" w:rsidP="00805A67">
      <w:pPr>
        <w:pStyle w:val="Nadpis3"/>
        <w:rPr>
          <w:rFonts w:ascii="Times New Roman" w:eastAsiaTheme="majorEastAsia" w:hAnsi="Times New Roman"/>
          <w:sz w:val="28"/>
        </w:rPr>
      </w:pPr>
      <w:bookmarkStart w:id="10" w:name="_Toc326741491"/>
      <w:r w:rsidRPr="00071287">
        <w:rPr>
          <w:rFonts w:ascii="Times New Roman" w:eastAsiaTheme="majorEastAsia" w:hAnsi="Times New Roman"/>
          <w:sz w:val="28"/>
        </w:rPr>
        <w:t>Postupy a aplikace systému</w:t>
      </w:r>
      <w:bookmarkEnd w:id="10"/>
    </w:p>
    <w:p w:rsidR="00805A67" w:rsidRPr="004D73CB" w:rsidRDefault="00805A67" w:rsidP="00805A67">
      <w:pPr>
        <w:pStyle w:val="Nadpis4"/>
        <w:rPr>
          <w:rFonts w:ascii="Times New Roman" w:eastAsiaTheme="majorEastAsia" w:hAnsi="Times New Roman"/>
        </w:rPr>
      </w:pPr>
      <w:bookmarkStart w:id="11" w:name="_Toc326741492"/>
      <w:r w:rsidRPr="004D73CB">
        <w:rPr>
          <w:rFonts w:ascii="Times New Roman" w:eastAsiaTheme="majorEastAsia" w:hAnsi="Times New Roman"/>
        </w:rPr>
        <w:t>Železniční přeprava</w:t>
      </w:r>
      <w:bookmarkEnd w:id="11"/>
    </w:p>
    <w:p w:rsidR="00805A67" w:rsidRPr="00ED7505" w:rsidRDefault="00805A67" w:rsidP="001618D4">
      <w:pPr>
        <w:pStyle w:val="Odstavecseseznamem"/>
        <w:spacing w:before="120" w:line="240" w:lineRule="auto"/>
        <w:ind w:left="0" w:firstLine="284"/>
        <w:contextualSpacing w:val="0"/>
        <w:jc w:val="both"/>
        <w:rPr>
          <w:rFonts w:ascii="Times New Roman" w:hAnsi="Times New Roman"/>
          <w:sz w:val="24"/>
        </w:rPr>
      </w:pPr>
      <w:r w:rsidRPr="00ED7505">
        <w:rPr>
          <w:rFonts w:ascii="Times New Roman" w:hAnsi="Times New Roman"/>
          <w:sz w:val="24"/>
        </w:rPr>
        <w:t xml:space="preserve">Při přepravě nebezpečných věcí po železnici existuje možnost využít samostatného systému pro sledování pohybu vozů. Jedná se o samostatný telematický systém, který je schopen obstarávat více vozů najednou a udávat aktuální polohu vlaku. Nejedná se však o národní samostatný systém, ale může být použit a využíván i v jiných zemích. </w:t>
      </w:r>
    </w:p>
    <w:p w:rsidR="00805A67" w:rsidRDefault="00805A67" w:rsidP="001618D4">
      <w:pPr>
        <w:pStyle w:val="Odstavecseseznamem"/>
        <w:ind w:left="0" w:firstLine="0"/>
        <w:jc w:val="center"/>
        <w:rPr>
          <w:rFonts w:ascii="Times New Roman" w:hAnsi="Times New Roman"/>
          <w:sz w:val="32"/>
        </w:rPr>
      </w:pPr>
      <w:r w:rsidRPr="00ED7505">
        <w:rPr>
          <w:rFonts w:ascii="Times New Roman" w:hAnsi="Times New Roman"/>
          <w:noProof/>
          <w:sz w:val="32"/>
        </w:rPr>
        <w:drawing>
          <wp:inline distT="0" distB="0" distL="0" distR="0">
            <wp:extent cx="4495800" cy="2954697"/>
            <wp:effectExtent l="19050" t="0" r="0" b="0"/>
            <wp:docPr id="20" name="obrázek 1" descr="Výhody telemati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hody telematiky"/>
                    <pic:cNvPicPr>
                      <a:picLocks noChangeAspect="1" noChangeArrowheads="1"/>
                    </pic:cNvPicPr>
                  </pic:nvPicPr>
                  <pic:blipFill>
                    <a:blip r:embed="rId33" cstate="print"/>
                    <a:srcRect/>
                    <a:stretch>
                      <a:fillRect/>
                    </a:stretch>
                  </pic:blipFill>
                  <pic:spPr bwMode="auto">
                    <a:xfrm>
                      <a:off x="0" y="0"/>
                      <a:ext cx="4503267" cy="2959604"/>
                    </a:xfrm>
                    <a:prstGeom prst="rect">
                      <a:avLst/>
                    </a:prstGeom>
                    <a:noFill/>
                    <a:ln w="9525">
                      <a:noFill/>
                      <a:miter lim="800000"/>
                      <a:headEnd/>
                      <a:tailEnd/>
                    </a:ln>
                  </pic:spPr>
                </pic:pic>
              </a:graphicData>
            </a:graphic>
          </wp:inline>
        </w:drawing>
      </w:r>
    </w:p>
    <w:p w:rsidR="001618D4" w:rsidRPr="001618D4" w:rsidRDefault="001618D4" w:rsidP="001618D4">
      <w:pPr>
        <w:spacing w:before="120"/>
        <w:ind w:firstLine="0"/>
        <w:jc w:val="center"/>
        <w:rPr>
          <w:i/>
        </w:rPr>
      </w:pPr>
      <w:r w:rsidRPr="001618D4">
        <w:rPr>
          <w:i/>
        </w:rPr>
        <w:t>DE – Obr. 4. – Přehled využití</w:t>
      </w:r>
      <w:r w:rsidR="006141B5">
        <w:rPr>
          <w:i/>
        </w:rPr>
        <w:t xml:space="preserve">, Zdroj </w:t>
      </w:r>
      <w:r w:rsidR="006141B5" w:rsidRPr="006141B5">
        <w:rPr>
          <w:i/>
        </w:rPr>
        <w:t>[DE19]</w:t>
      </w:r>
      <w:r w:rsidRPr="001618D4">
        <w:rPr>
          <w:i/>
        </w:rPr>
        <w:t xml:space="preserve"> </w:t>
      </w:r>
    </w:p>
    <w:p w:rsidR="001618D4" w:rsidRDefault="00805A67" w:rsidP="00F425B8">
      <w:pPr>
        <w:pStyle w:val="Odstavecseseznamem"/>
        <w:spacing w:before="120" w:line="240" w:lineRule="auto"/>
        <w:ind w:left="0" w:firstLine="431"/>
        <w:contextualSpacing w:val="0"/>
        <w:jc w:val="both"/>
        <w:rPr>
          <w:rFonts w:ascii="Times New Roman" w:hAnsi="Times New Roman"/>
          <w:sz w:val="24"/>
        </w:rPr>
      </w:pPr>
      <w:r w:rsidRPr="00ED7505">
        <w:rPr>
          <w:rFonts w:ascii="Times New Roman" w:hAnsi="Times New Roman"/>
          <w:sz w:val="24"/>
        </w:rPr>
        <w:t xml:space="preserve">Je však nutné poznamenat, že se nejedná o speciálně vyvinutý systém pro nebezpečné věci a jejich přepravu, nýbrž se jedná o obecný systém sledování polohy nákladní vozů po železnici, který se dá využít pro přepravu nebezpečných věcí, kde je systém také přednostně využíván. </w:t>
      </w:r>
    </w:p>
    <w:p w:rsidR="0089027D" w:rsidRDefault="00805A67" w:rsidP="00F425B8">
      <w:pPr>
        <w:pStyle w:val="Odstavecseseznamem"/>
        <w:spacing w:before="120" w:line="240" w:lineRule="auto"/>
        <w:ind w:left="0" w:firstLine="431"/>
        <w:contextualSpacing w:val="0"/>
        <w:jc w:val="both"/>
        <w:rPr>
          <w:rFonts w:ascii="Times New Roman" w:hAnsi="Times New Roman"/>
          <w:sz w:val="24"/>
        </w:rPr>
      </w:pPr>
      <w:r w:rsidRPr="00ED7505">
        <w:rPr>
          <w:rFonts w:ascii="Times New Roman" w:hAnsi="Times New Roman"/>
          <w:sz w:val="24"/>
        </w:rPr>
        <w:t>Cílem tohoto projektu je neustálý dohled nad vozy, nejen v rámci daného státu, ale také při mezistátních trasách daného nákladu. Současně je pomocí umístěných senzorů sledován pohyb nákladu ve vozech, teplota a tlak materiálu v nich uložených a samotná detekce vykolejení vozu. Tyto senzory b</w:t>
      </w:r>
      <w:r w:rsidR="008E4FAA">
        <w:rPr>
          <w:rFonts w:ascii="Times New Roman" w:hAnsi="Times New Roman"/>
          <w:sz w:val="24"/>
        </w:rPr>
        <w:t xml:space="preserve">udou dále blíže specifikovány na jednotlivých druzích nákladních vagónů, kde se dané typy senzorů používají. </w:t>
      </w:r>
    </w:p>
    <w:p w:rsidR="00805A67" w:rsidRPr="00ED7505" w:rsidRDefault="0089027D" w:rsidP="00F425B8">
      <w:pPr>
        <w:pStyle w:val="Odstavecseseznamem"/>
        <w:spacing w:before="120" w:line="240" w:lineRule="auto"/>
        <w:ind w:left="0" w:firstLine="431"/>
        <w:contextualSpacing w:val="0"/>
        <w:jc w:val="both"/>
        <w:rPr>
          <w:rFonts w:ascii="Times New Roman" w:hAnsi="Times New Roman"/>
          <w:sz w:val="24"/>
        </w:rPr>
      </w:pPr>
      <w:r>
        <w:rPr>
          <w:rFonts w:ascii="Times New Roman" w:hAnsi="Times New Roman"/>
          <w:sz w:val="24"/>
        </w:rPr>
        <w:t xml:space="preserve">Mezi nejpoužívanější senzory patří senzor teploty, tlaku, pohybu a senzory zrychlení či vykolejení. Na následujících obrázcích DE – Obr. 6. až DE - Obr. 10. jsou vyobrazeny jednotlivé druhy senzorů na již konkrétních příkladech využití a nasazení v provozu. </w:t>
      </w:r>
    </w:p>
    <w:p w:rsidR="00805A67" w:rsidRDefault="00805A67" w:rsidP="001618D4">
      <w:pPr>
        <w:pStyle w:val="Odstavecseseznamem"/>
        <w:ind w:left="0" w:firstLine="0"/>
        <w:jc w:val="center"/>
        <w:rPr>
          <w:rFonts w:ascii="Times New Roman" w:hAnsi="Times New Roman"/>
          <w:sz w:val="32"/>
        </w:rPr>
      </w:pPr>
      <w:r w:rsidRPr="00ED7505">
        <w:rPr>
          <w:rFonts w:ascii="Times New Roman" w:hAnsi="Times New Roman"/>
          <w:noProof/>
          <w:sz w:val="32"/>
        </w:rPr>
        <w:lastRenderedPageBreak/>
        <w:drawing>
          <wp:inline distT="0" distB="0" distL="0" distR="0">
            <wp:extent cx="3943350" cy="2939028"/>
            <wp:effectExtent l="19050" t="0" r="0" b="0"/>
            <wp:docPr id="21" name="obrázek 1" descr="Rozhraní telematické systé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zhraní telematické systémy"/>
                    <pic:cNvPicPr>
                      <a:picLocks noChangeAspect="1" noChangeArrowheads="1"/>
                    </pic:cNvPicPr>
                  </pic:nvPicPr>
                  <pic:blipFill>
                    <a:blip r:embed="rId34" cstate="print"/>
                    <a:srcRect/>
                    <a:stretch>
                      <a:fillRect/>
                    </a:stretch>
                  </pic:blipFill>
                  <pic:spPr bwMode="auto">
                    <a:xfrm>
                      <a:off x="0" y="0"/>
                      <a:ext cx="3957409" cy="2949507"/>
                    </a:xfrm>
                    <a:prstGeom prst="rect">
                      <a:avLst/>
                    </a:prstGeom>
                    <a:noFill/>
                    <a:ln w="9525">
                      <a:noFill/>
                      <a:miter lim="800000"/>
                      <a:headEnd/>
                      <a:tailEnd/>
                    </a:ln>
                  </pic:spPr>
                </pic:pic>
              </a:graphicData>
            </a:graphic>
          </wp:inline>
        </w:drawing>
      </w:r>
    </w:p>
    <w:p w:rsidR="001618D4" w:rsidRPr="001618D4" w:rsidRDefault="001618D4" w:rsidP="003E5F9B">
      <w:pPr>
        <w:pStyle w:val="Odstavecseseznamem"/>
        <w:spacing w:before="120"/>
        <w:ind w:left="0" w:firstLine="0"/>
        <w:contextualSpacing w:val="0"/>
        <w:jc w:val="center"/>
        <w:rPr>
          <w:rFonts w:ascii="Times New Roman" w:hAnsi="Times New Roman"/>
          <w:i/>
          <w:sz w:val="24"/>
        </w:rPr>
      </w:pPr>
      <w:r w:rsidRPr="001618D4">
        <w:rPr>
          <w:rFonts w:ascii="Times New Roman" w:hAnsi="Times New Roman"/>
          <w:i/>
          <w:sz w:val="24"/>
        </w:rPr>
        <w:t>DE – obr. 5. – Rozhraní systému</w:t>
      </w:r>
      <w:r w:rsidR="006141B5">
        <w:rPr>
          <w:rFonts w:ascii="Times New Roman" w:hAnsi="Times New Roman"/>
          <w:i/>
          <w:sz w:val="24"/>
        </w:rPr>
        <w:t xml:space="preserve">, </w:t>
      </w:r>
      <w:r w:rsidR="006141B5" w:rsidRPr="006141B5">
        <w:rPr>
          <w:rFonts w:ascii="Times New Roman" w:hAnsi="Times New Roman"/>
          <w:i/>
          <w:sz w:val="24"/>
        </w:rPr>
        <w:t>Zdroj [DE19]</w:t>
      </w:r>
    </w:p>
    <w:p w:rsidR="00805A67" w:rsidRPr="00ED7505" w:rsidRDefault="00805A67" w:rsidP="00ED36B9">
      <w:pPr>
        <w:pStyle w:val="Odstavecseseznamem"/>
        <w:spacing w:before="120" w:line="240" w:lineRule="auto"/>
        <w:ind w:left="0" w:firstLine="431"/>
        <w:contextualSpacing w:val="0"/>
        <w:jc w:val="both"/>
        <w:rPr>
          <w:rFonts w:ascii="Times New Roman" w:hAnsi="Times New Roman"/>
          <w:sz w:val="24"/>
        </w:rPr>
      </w:pPr>
      <w:r w:rsidRPr="00ED7505">
        <w:rPr>
          <w:rFonts w:ascii="Times New Roman" w:hAnsi="Times New Roman"/>
          <w:sz w:val="24"/>
        </w:rPr>
        <w:t>Pomocí GPS je sledována poloha a komunikačním rozhraním jsou předávány informace o stavu nákladu za předpokladu, že dané senzory mají integrované jednotky, které jsou schopné posoudit požadované veličiny. Umístění senzorů je uvedeno na předcházejícím obrázku</w:t>
      </w:r>
      <w:r w:rsidR="001618D4">
        <w:rPr>
          <w:rFonts w:ascii="Times New Roman" w:hAnsi="Times New Roman"/>
          <w:sz w:val="24"/>
        </w:rPr>
        <w:t xml:space="preserve"> </w:t>
      </w:r>
      <w:r w:rsidR="001618D4" w:rsidRPr="001618D4">
        <w:rPr>
          <w:rFonts w:ascii="Times New Roman" w:hAnsi="Times New Roman"/>
          <w:i/>
          <w:sz w:val="24"/>
        </w:rPr>
        <w:t>DE – obr. 5. – Rozhraní systému</w:t>
      </w:r>
      <w:r w:rsidRPr="00ED7505">
        <w:rPr>
          <w:rFonts w:ascii="Times New Roman" w:hAnsi="Times New Roman"/>
          <w:sz w:val="24"/>
        </w:rPr>
        <w:t xml:space="preserve">, kde je také uvedeno rozhraní mezi vozem a lokomotivou, vozem a provozním centrem. Rozhraní mezi nákladními vozy a lokomotivou je normováno, komunikace mezi senzory a telematickými jednotkami není blíže specifikována, ale měla by být pro danou železniční společnost jednotná, aby v případě vyslané chybové hlášky došlo k jejímu zpracování a včasnému zásahu. </w:t>
      </w:r>
    </w:p>
    <w:p w:rsidR="00805A67" w:rsidRPr="00ED7505" w:rsidRDefault="00805A67" w:rsidP="00ED36B9">
      <w:pPr>
        <w:pStyle w:val="Odstavecseseznamem"/>
        <w:spacing w:before="120" w:line="240" w:lineRule="auto"/>
        <w:ind w:left="0" w:firstLine="431"/>
        <w:contextualSpacing w:val="0"/>
        <w:jc w:val="both"/>
        <w:rPr>
          <w:rFonts w:ascii="Times New Roman" w:hAnsi="Times New Roman"/>
          <w:sz w:val="24"/>
        </w:rPr>
      </w:pPr>
      <w:r w:rsidRPr="00ED7505">
        <w:rPr>
          <w:rFonts w:ascii="Times New Roman" w:hAnsi="Times New Roman"/>
          <w:sz w:val="24"/>
        </w:rPr>
        <w:t>Mezi cílové objekty patří cisternové vozy na chemikálie, ropu a stlačený zemní plyn. Cisternové vozy na chemikálie jsou senzory a telematickými jednotkami vybaveny zejména v případech převozu kyseliny chloroctové, která musí být přepravována v teplotách mezi 20°C a 40°C. Jejich umístění je patrné z</w:t>
      </w:r>
      <w:r w:rsidR="00ED36B9">
        <w:rPr>
          <w:rFonts w:ascii="Times New Roman" w:hAnsi="Times New Roman"/>
          <w:sz w:val="24"/>
        </w:rPr>
        <w:t> </w:t>
      </w:r>
      <w:r w:rsidRPr="00ED7505">
        <w:rPr>
          <w:rFonts w:ascii="Times New Roman" w:hAnsi="Times New Roman"/>
          <w:sz w:val="24"/>
        </w:rPr>
        <w:t>obrázku</w:t>
      </w:r>
      <w:r w:rsidR="00ED36B9">
        <w:rPr>
          <w:rFonts w:ascii="Times New Roman" w:hAnsi="Times New Roman"/>
          <w:sz w:val="24"/>
        </w:rPr>
        <w:t xml:space="preserve"> </w:t>
      </w:r>
      <w:r w:rsidR="00ED36B9" w:rsidRPr="001618D4">
        <w:rPr>
          <w:rFonts w:ascii="Times New Roman" w:hAnsi="Times New Roman"/>
          <w:i/>
          <w:sz w:val="24"/>
        </w:rPr>
        <w:t>DE – Obr. 6. – Cisternový vůz pro přepravu chemikálií</w:t>
      </w:r>
      <w:r w:rsidRPr="00ED7505">
        <w:rPr>
          <w:rFonts w:ascii="Times New Roman" w:hAnsi="Times New Roman"/>
          <w:sz w:val="24"/>
        </w:rPr>
        <w:t>, kde možnosti umístění daných jednotek jsou vyznačeny barevně.</w:t>
      </w:r>
    </w:p>
    <w:p w:rsidR="001618D4" w:rsidRDefault="00805A67" w:rsidP="001618D4">
      <w:pPr>
        <w:pStyle w:val="Odstavecseseznamem"/>
        <w:ind w:left="0" w:firstLine="0"/>
        <w:jc w:val="center"/>
        <w:rPr>
          <w:rFonts w:ascii="Times New Roman" w:hAnsi="Times New Roman"/>
          <w:i/>
          <w:sz w:val="24"/>
        </w:rPr>
      </w:pPr>
      <w:r w:rsidRPr="00ED7505">
        <w:rPr>
          <w:rFonts w:ascii="Times New Roman" w:hAnsi="Times New Roman"/>
          <w:noProof/>
          <w:sz w:val="32"/>
        </w:rPr>
        <w:drawing>
          <wp:inline distT="0" distB="0" distL="0" distR="0">
            <wp:extent cx="5076825" cy="1540620"/>
            <wp:effectExtent l="19050" t="0" r="9525" b="0"/>
            <wp:docPr id="22" name="Obrázek 9" descr="cisterna_ch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sterna_chem.jpg"/>
                    <pic:cNvPicPr/>
                  </pic:nvPicPr>
                  <pic:blipFill>
                    <a:blip r:embed="rId35" cstate="print"/>
                    <a:stretch>
                      <a:fillRect/>
                    </a:stretch>
                  </pic:blipFill>
                  <pic:spPr>
                    <a:xfrm>
                      <a:off x="0" y="0"/>
                      <a:ext cx="5077975" cy="1540969"/>
                    </a:xfrm>
                    <a:prstGeom prst="rect">
                      <a:avLst/>
                    </a:prstGeom>
                  </pic:spPr>
                </pic:pic>
              </a:graphicData>
            </a:graphic>
          </wp:inline>
        </w:drawing>
      </w:r>
    </w:p>
    <w:p w:rsidR="001618D4" w:rsidRPr="001618D4" w:rsidRDefault="001618D4" w:rsidP="001618D4">
      <w:pPr>
        <w:pStyle w:val="Odstavecseseznamem"/>
        <w:spacing w:after="120"/>
        <w:ind w:left="0" w:firstLine="0"/>
        <w:contextualSpacing w:val="0"/>
        <w:jc w:val="center"/>
        <w:rPr>
          <w:rFonts w:ascii="Times New Roman" w:hAnsi="Times New Roman"/>
          <w:i/>
          <w:sz w:val="24"/>
        </w:rPr>
      </w:pPr>
      <w:r w:rsidRPr="001618D4">
        <w:rPr>
          <w:rFonts w:ascii="Times New Roman" w:hAnsi="Times New Roman"/>
          <w:i/>
          <w:sz w:val="24"/>
        </w:rPr>
        <w:t>DE – Obr. 6. – Cisternový vůz pro přepravu chemikálií</w:t>
      </w:r>
      <w:r w:rsidR="006141B5">
        <w:rPr>
          <w:rFonts w:ascii="Times New Roman" w:hAnsi="Times New Roman"/>
          <w:i/>
          <w:sz w:val="24"/>
        </w:rPr>
        <w:t xml:space="preserve">, </w:t>
      </w:r>
      <w:r w:rsidR="006141B5" w:rsidRPr="006141B5">
        <w:rPr>
          <w:rFonts w:ascii="Times New Roman" w:hAnsi="Times New Roman"/>
          <w:i/>
          <w:sz w:val="24"/>
        </w:rPr>
        <w:t>Zdroj [DE19]</w:t>
      </w:r>
    </w:p>
    <w:p w:rsidR="00805A67" w:rsidRPr="00ED7505" w:rsidRDefault="00805A67" w:rsidP="00ED36B9">
      <w:pPr>
        <w:pStyle w:val="Odstavecseseznamem"/>
        <w:spacing w:line="240" w:lineRule="auto"/>
        <w:ind w:left="0" w:firstLine="284"/>
        <w:jc w:val="both"/>
        <w:rPr>
          <w:rFonts w:ascii="Times New Roman" w:hAnsi="Times New Roman"/>
          <w:sz w:val="24"/>
        </w:rPr>
      </w:pPr>
      <w:r w:rsidRPr="00ED7505">
        <w:rPr>
          <w:rFonts w:ascii="Times New Roman" w:hAnsi="Times New Roman"/>
          <w:sz w:val="24"/>
        </w:rPr>
        <w:t xml:space="preserve">Zeleně je vyznačena jednotka pro určení polohy pomocí GPS a jednotka rádiové komunikace. Oranžovou barvou je znázorněn senzor teploty, který využívá data již instalovaného systému. Modrá barva značí telematiku a tříosý senzor zrychlení - senzor detekující vykolejení vozu. </w:t>
      </w:r>
    </w:p>
    <w:p w:rsidR="00805A67" w:rsidRPr="00ED7505" w:rsidRDefault="00805A67" w:rsidP="00805A67">
      <w:pPr>
        <w:pStyle w:val="Odstavecseseznamem"/>
        <w:ind w:firstLine="360"/>
        <w:jc w:val="both"/>
        <w:rPr>
          <w:rFonts w:ascii="Times New Roman" w:hAnsi="Times New Roman"/>
          <w:sz w:val="32"/>
        </w:rPr>
      </w:pPr>
      <w:r w:rsidRPr="00ED7505">
        <w:rPr>
          <w:rFonts w:ascii="Times New Roman" w:hAnsi="Times New Roman"/>
          <w:noProof/>
          <w:sz w:val="32"/>
        </w:rPr>
        <w:lastRenderedPageBreak/>
        <w:drawing>
          <wp:anchor distT="0" distB="0" distL="114300" distR="114300" simplePos="0" relativeHeight="251660288" behindDoc="0" locked="0" layoutInCell="1" allowOverlap="1">
            <wp:simplePos x="0" y="0"/>
            <wp:positionH relativeFrom="column">
              <wp:posOffset>3510280</wp:posOffset>
            </wp:positionH>
            <wp:positionV relativeFrom="paragraph">
              <wp:posOffset>-34925</wp:posOffset>
            </wp:positionV>
            <wp:extent cx="1514475" cy="2486025"/>
            <wp:effectExtent l="19050" t="0" r="9525" b="0"/>
            <wp:wrapSquare wrapText="bothSides"/>
            <wp:docPr id="2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1514475" cy="2486025"/>
                    </a:xfrm>
                    <a:prstGeom prst="rect">
                      <a:avLst/>
                    </a:prstGeom>
                    <a:noFill/>
                    <a:ln w="9525">
                      <a:noFill/>
                      <a:miter lim="800000"/>
                      <a:headEnd/>
                      <a:tailEnd/>
                    </a:ln>
                  </pic:spPr>
                </pic:pic>
              </a:graphicData>
            </a:graphic>
          </wp:anchor>
        </w:drawing>
      </w:r>
      <w:r w:rsidRPr="00ED7505">
        <w:rPr>
          <w:rFonts w:ascii="Times New Roman" w:hAnsi="Times New Roman"/>
          <w:noProof/>
          <w:sz w:val="32"/>
        </w:rPr>
        <w:drawing>
          <wp:inline distT="0" distB="0" distL="0" distR="0">
            <wp:extent cx="1514475" cy="2476500"/>
            <wp:effectExtent l="19050" t="0" r="9525" b="0"/>
            <wp:docPr id="2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1514475" cy="2476500"/>
                    </a:xfrm>
                    <a:prstGeom prst="rect">
                      <a:avLst/>
                    </a:prstGeom>
                    <a:noFill/>
                    <a:ln w="9525">
                      <a:noFill/>
                      <a:miter lim="800000"/>
                      <a:headEnd/>
                      <a:tailEnd/>
                    </a:ln>
                  </pic:spPr>
                </pic:pic>
              </a:graphicData>
            </a:graphic>
          </wp:inline>
        </w:drawing>
      </w:r>
    </w:p>
    <w:p w:rsidR="00ED36B9" w:rsidRDefault="00ED36B9" w:rsidP="00805A67">
      <w:pPr>
        <w:pStyle w:val="Odstavecseseznamem"/>
        <w:ind w:hanging="11"/>
        <w:jc w:val="both"/>
        <w:rPr>
          <w:rFonts w:ascii="Times New Roman" w:hAnsi="Times New Roman"/>
          <w:sz w:val="24"/>
        </w:rPr>
        <w:sectPr w:rsidR="00ED36B9" w:rsidSect="00E24BB7">
          <w:pgSz w:w="11906" w:h="16838"/>
          <w:pgMar w:top="1417" w:right="1417" w:bottom="1417" w:left="1417" w:header="708" w:footer="708" w:gutter="0"/>
          <w:cols w:space="708"/>
          <w:docGrid w:linePitch="360"/>
        </w:sectPr>
      </w:pPr>
    </w:p>
    <w:p w:rsidR="002D291E" w:rsidRDefault="003E5F9B" w:rsidP="002D291E">
      <w:pPr>
        <w:pStyle w:val="Odstavecseseznamem"/>
        <w:ind w:left="0" w:firstLine="0"/>
        <w:jc w:val="center"/>
        <w:rPr>
          <w:rFonts w:ascii="Times New Roman" w:hAnsi="Times New Roman"/>
          <w:i/>
          <w:sz w:val="22"/>
        </w:rPr>
      </w:pPr>
      <w:r w:rsidRPr="002D291E">
        <w:rPr>
          <w:rFonts w:ascii="Times New Roman" w:hAnsi="Times New Roman"/>
          <w:i/>
          <w:sz w:val="22"/>
        </w:rPr>
        <w:lastRenderedPageBreak/>
        <w:t>DE – Obr. 7. –</w:t>
      </w:r>
      <w:r w:rsidR="00ED36B9" w:rsidRPr="002D291E">
        <w:rPr>
          <w:rFonts w:ascii="Times New Roman" w:hAnsi="Times New Roman"/>
          <w:i/>
          <w:sz w:val="22"/>
        </w:rPr>
        <w:t xml:space="preserve"> T</w:t>
      </w:r>
      <w:r w:rsidRPr="002D291E">
        <w:rPr>
          <w:rFonts w:ascii="Times New Roman" w:hAnsi="Times New Roman"/>
          <w:i/>
          <w:sz w:val="22"/>
        </w:rPr>
        <w:t>elematická jednotka</w:t>
      </w:r>
      <w:r w:rsidR="006141B5" w:rsidRPr="002D291E">
        <w:rPr>
          <w:rFonts w:ascii="Times New Roman" w:hAnsi="Times New Roman"/>
          <w:i/>
          <w:sz w:val="22"/>
        </w:rPr>
        <w:t>,</w:t>
      </w:r>
    </w:p>
    <w:p w:rsidR="00805A67" w:rsidRPr="002D291E" w:rsidRDefault="006141B5" w:rsidP="002D291E">
      <w:pPr>
        <w:pStyle w:val="Odstavecseseznamem"/>
        <w:ind w:left="0" w:firstLine="0"/>
        <w:jc w:val="center"/>
        <w:rPr>
          <w:rFonts w:ascii="Times New Roman" w:hAnsi="Times New Roman"/>
          <w:i/>
          <w:sz w:val="22"/>
        </w:rPr>
      </w:pPr>
      <w:r w:rsidRPr="002D291E">
        <w:rPr>
          <w:rFonts w:ascii="Times New Roman" w:hAnsi="Times New Roman"/>
          <w:i/>
          <w:sz w:val="22"/>
        </w:rPr>
        <w:t xml:space="preserve"> Zdroj [DE19]</w:t>
      </w:r>
    </w:p>
    <w:p w:rsidR="002D291E" w:rsidRDefault="003E5F9B" w:rsidP="002D291E">
      <w:pPr>
        <w:pStyle w:val="Odstavecseseznamem"/>
        <w:ind w:left="-142" w:hanging="11"/>
        <w:jc w:val="center"/>
        <w:rPr>
          <w:rFonts w:ascii="Times New Roman" w:hAnsi="Times New Roman"/>
          <w:i/>
          <w:sz w:val="22"/>
        </w:rPr>
      </w:pPr>
      <w:r w:rsidRPr="002D291E">
        <w:rPr>
          <w:rFonts w:ascii="Times New Roman" w:hAnsi="Times New Roman"/>
          <w:i/>
          <w:sz w:val="22"/>
        </w:rPr>
        <w:lastRenderedPageBreak/>
        <w:t xml:space="preserve">DE – Obr. </w:t>
      </w:r>
      <w:r w:rsidR="00ED36B9" w:rsidRPr="002D291E">
        <w:rPr>
          <w:rFonts w:ascii="Times New Roman" w:hAnsi="Times New Roman"/>
          <w:i/>
          <w:sz w:val="22"/>
        </w:rPr>
        <w:t>8. –GPS/GSM anténa</w:t>
      </w:r>
      <w:r w:rsidR="002D291E">
        <w:rPr>
          <w:rFonts w:ascii="Times New Roman" w:hAnsi="Times New Roman"/>
          <w:i/>
          <w:sz w:val="22"/>
        </w:rPr>
        <w:t xml:space="preserve">, </w:t>
      </w:r>
    </w:p>
    <w:p w:rsidR="003E5F9B" w:rsidRPr="002D291E" w:rsidRDefault="006141B5" w:rsidP="002D291E">
      <w:pPr>
        <w:pStyle w:val="Odstavecseseznamem"/>
        <w:ind w:left="-142" w:hanging="11"/>
        <w:jc w:val="center"/>
        <w:rPr>
          <w:rFonts w:ascii="Times New Roman" w:hAnsi="Times New Roman"/>
          <w:i/>
          <w:sz w:val="22"/>
        </w:rPr>
      </w:pPr>
      <w:r w:rsidRPr="002D291E">
        <w:rPr>
          <w:rFonts w:ascii="Times New Roman" w:hAnsi="Times New Roman"/>
          <w:i/>
          <w:sz w:val="22"/>
        </w:rPr>
        <w:t>Zdroj [DE19]</w:t>
      </w:r>
    </w:p>
    <w:p w:rsidR="00ED36B9" w:rsidRPr="002D291E" w:rsidRDefault="00ED36B9" w:rsidP="00805A67">
      <w:pPr>
        <w:pStyle w:val="Odstavecseseznamem"/>
        <w:ind w:left="0" w:firstLine="284"/>
        <w:jc w:val="both"/>
        <w:rPr>
          <w:rFonts w:ascii="Times New Roman" w:hAnsi="Times New Roman"/>
          <w:sz w:val="22"/>
        </w:rPr>
        <w:sectPr w:rsidR="00ED36B9" w:rsidRPr="002D291E" w:rsidSect="002D291E">
          <w:type w:val="continuous"/>
          <w:pgSz w:w="11906" w:h="16838"/>
          <w:pgMar w:top="1417" w:right="1417" w:bottom="1417" w:left="1417" w:header="708" w:footer="708" w:gutter="0"/>
          <w:cols w:num="2" w:space="282"/>
          <w:docGrid w:linePitch="360"/>
        </w:sectPr>
      </w:pPr>
    </w:p>
    <w:p w:rsidR="00805A67" w:rsidRDefault="00805A67" w:rsidP="00ED36B9">
      <w:pPr>
        <w:pStyle w:val="Odstavecseseznamem"/>
        <w:spacing w:before="120" w:line="240" w:lineRule="auto"/>
        <w:ind w:left="0" w:firstLine="284"/>
        <w:contextualSpacing w:val="0"/>
        <w:jc w:val="both"/>
        <w:rPr>
          <w:rFonts w:ascii="Times New Roman" w:hAnsi="Times New Roman"/>
          <w:sz w:val="24"/>
        </w:rPr>
      </w:pPr>
      <w:r w:rsidRPr="00ED7505">
        <w:rPr>
          <w:rFonts w:ascii="Times New Roman" w:hAnsi="Times New Roman"/>
          <w:sz w:val="24"/>
        </w:rPr>
        <w:lastRenderedPageBreak/>
        <w:t>Na levém obrázku</w:t>
      </w:r>
      <w:r w:rsidR="00ED36B9">
        <w:rPr>
          <w:rFonts w:ascii="Times New Roman" w:hAnsi="Times New Roman"/>
          <w:sz w:val="24"/>
        </w:rPr>
        <w:t xml:space="preserve"> (</w:t>
      </w:r>
      <w:r w:rsidR="00ED36B9" w:rsidRPr="00ED36B9">
        <w:rPr>
          <w:rFonts w:ascii="Times New Roman" w:hAnsi="Times New Roman"/>
          <w:i/>
          <w:sz w:val="24"/>
        </w:rPr>
        <w:t>DE – Obr. 7. – Telematická jednotka</w:t>
      </w:r>
      <w:r w:rsidR="00ED36B9">
        <w:rPr>
          <w:rFonts w:ascii="Times New Roman" w:hAnsi="Times New Roman"/>
          <w:i/>
          <w:sz w:val="24"/>
        </w:rPr>
        <w:t>)</w:t>
      </w:r>
      <w:r w:rsidRPr="00ED7505">
        <w:rPr>
          <w:rFonts w:ascii="Times New Roman" w:hAnsi="Times New Roman"/>
          <w:sz w:val="24"/>
        </w:rPr>
        <w:t xml:space="preserve"> je fotka </w:t>
      </w:r>
      <w:r w:rsidR="00C15EFB">
        <w:rPr>
          <w:rFonts w:ascii="Times New Roman" w:hAnsi="Times New Roman"/>
          <w:sz w:val="24"/>
        </w:rPr>
        <w:t>telematické jednotky (GPS/GSM) včetně</w:t>
      </w:r>
      <w:r w:rsidRPr="00ED7505">
        <w:rPr>
          <w:rFonts w:ascii="Times New Roman" w:hAnsi="Times New Roman"/>
          <w:sz w:val="24"/>
        </w:rPr>
        <w:t xml:space="preserve"> solárního panelu pro měření teploty, na druhém</w:t>
      </w:r>
      <w:r w:rsidR="00ED36B9">
        <w:rPr>
          <w:rFonts w:ascii="Times New Roman" w:hAnsi="Times New Roman"/>
          <w:sz w:val="24"/>
        </w:rPr>
        <w:t xml:space="preserve"> (</w:t>
      </w:r>
      <w:r w:rsidR="00ED36B9" w:rsidRPr="00ED36B9">
        <w:rPr>
          <w:rFonts w:ascii="Times New Roman" w:hAnsi="Times New Roman"/>
          <w:i/>
          <w:sz w:val="24"/>
        </w:rPr>
        <w:t>DE – Obr. 8. –GPS/GSM anténa</w:t>
      </w:r>
      <w:r w:rsidR="00ED36B9">
        <w:rPr>
          <w:rFonts w:ascii="Times New Roman" w:hAnsi="Times New Roman"/>
          <w:i/>
          <w:sz w:val="24"/>
        </w:rPr>
        <w:t xml:space="preserve">) </w:t>
      </w:r>
      <w:r w:rsidRPr="00ED7505">
        <w:rPr>
          <w:rFonts w:ascii="Times New Roman" w:hAnsi="Times New Roman"/>
          <w:sz w:val="24"/>
        </w:rPr>
        <w:t xml:space="preserve"> pouze GPS/GSM anténa a solární panel. Telematický systém je nasazován při přepravě mezi Německem a Finskem. </w:t>
      </w:r>
    </w:p>
    <w:p w:rsidR="00ED36B9" w:rsidRDefault="00AA493B" w:rsidP="00ED36B9">
      <w:pPr>
        <w:pStyle w:val="Odstavecseseznamem"/>
        <w:spacing w:before="120"/>
        <w:ind w:left="0" w:firstLine="284"/>
        <w:contextualSpacing w:val="0"/>
        <w:jc w:val="both"/>
        <w:rPr>
          <w:rFonts w:ascii="Times New Roman" w:hAnsi="Times New Roman"/>
          <w:sz w:val="24"/>
        </w:rPr>
      </w:pPr>
      <w:r>
        <w:rPr>
          <w:rFonts w:ascii="Times New Roman" w:hAnsi="Times New Roman"/>
          <w:noProof/>
          <w:sz w:val="24"/>
        </w:rPr>
        <w:drawing>
          <wp:inline distT="0" distB="0" distL="0" distR="0">
            <wp:extent cx="4829175" cy="1377242"/>
            <wp:effectExtent l="19050" t="0" r="9525" b="0"/>
            <wp:docPr id="25" name="Obrázek 15" descr="cisterna_ol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sterna_olej.jpg"/>
                    <pic:cNvPicPr/>
                  </pic:nvPicPr>
                  <pic:blipFill>
                    <a:blip r:embed="rId38" cstate="print"/>
                    <a:stretch>
                      <a:fillRect/>
                    </a:stretch>
                  </pic:blipFill>
                  <pic:spPr>
                    <a:xfrm>
                      <a:off x="0" y="0"/>
                      <a:ext cx="4829175" cy="1377242"/>
                    </a:xfrm>
                    <a:prstGeom prst="rect">
                      <a:avLst/>
                    </a:prstGeom>
                  </pic:spPr>
                </pic:pic>
              </a:graphicData>
            </a:graphic>
          </wp:inline>
        </w:drawing>
      </w:r>
    </w:p>
    <w:p w:rsidR="00ED36B9" w:rsidRPr="00ED36B9" w:rsidRDefault="00ED36B9" w:rsidP="002D291E">
      <w:pPr>
        <w:pStyle w:val="Odstavecseseznamem"/>
        <w:ind w:left="0" w:firstLine="284"/>
        <w:contextualSpacing w:val="0"/>
        <w:jc w:val="center"/>
        <w:rPr>
          <w:rFonts w:ascii="Times New Roman" w:hAnsi="Times New Roman"/>
          <w:i/>
          <w:sz w:val="24"/>
        </w:rPr>
      </w:pPr>
      <w:r w:rsidRPr="00ED36B9">
        <w:rPr>
          <w:rFonts w:ascii="Times New Roman" w:hAnsi="Times New Roman"/>
          <w:i/>
          <w:sz w:val="24"/>
        </w:rPr>
        <w:t>DE – Obr. 9.  – Cisternový vůz pro přepravu ropy</w:t>
      </w:r>
      <w:r w:rsidR="002D291E">
        <w:rPr>
          <w:rFonts w:ascii="Times New Roman" w:hAnsi="Times New Roman"/>
          <w:i/>
          <w:sz w:val="24"/>
        </w:rPr>
        <w:t xml:space="preserve">, </w:t>
      </w:r>
      <w:r w:rsidR="002D291E" w:rsidRPr="006141B5">
        <w:rPr>
          <w:rFonts w:ascii="Times New Roman" w:hAnsi="Times New Roman"/>
          <w:i/>
          <w:sz w:val="24"/>
        </w:rPr>
        <w:t>Zdroj [DE19]</w:t>
      </w:r>
    </w:p>
    <w:p w:rsidR="00805A67" w:rsidRPr="00ED7505" w:rsidRDefault="00805A67" w:rsidP="00ED36B9">
      <w:pPr>
        <w:pStyle w:val="Odstavecseseznamem"/>
        <w:spacing w:before="120" w:line="240" w:lineRule="auto"/>
        <w:ind w:left="0" w:firstLine="284"/>
        <w:contextualSpacing w:val="0"/>
        <w:jc w:val="both"/>
        <w:rPr>
          <w:rFonts w:ascii="Times New Roman" w:hAnsi="Times New Roman"/>
          <w:sz w:val="24"/>
        </w:rPr>
      </w:pPr>
      <w:r w:rsidRPr="00ED7505">
        <w:rPr>
          <w:rFonts w:ascii="Times New Roman" w:hAnsi="Times New Roman"/>
          <w:sz w:val="24"/>
        </w:rPr>
        <w:t>Cisternový vůz pro přepravu ropy je vybaven podobně</w:t>
      </w:r>
      <w:r w:rsidR="00ED36B9">
        <w:rPr>
          <w:rFonts w:ascii="Times New Roman" w:hAnsi="Times New Roman"/>
          <w:sz w:val="24"/>
        </w:rPr>
        <w:t>,</w:t>
      </w:r>
      <w:r w:rsidRPr="00ED7505">
        <w:rPr>
          <w:rFonts w:ascii="Times New Roman" w:hAnsi="Times New Roman"/>
          <w:sz w:val="24"/>
        </w:rPr>
        <w:t xml:space="preserve"> jako pro přepravu chemických látek, pouze s rozdílem použitých senzorů a přímého umístění daných jednotek</w:t>
      </w:r>
      <w:r w:rsidR="0089027D">
        <w:rPr>
          <w:rFonts w:ascii="Times New Roman" w:hAnsi="Times New Roman"/>
          <w:sz w:val="24"/>
        </w:rPr>
        <w:t>.</w:t>
      </w:r>
    </w:p>
    <w:p w:rsidR="00805A67" w:rsidRPr="00ED7505" w:rsidRDefault="00805A67" w:rsidP="00ED36B9">
      <w:pPr>
        <w:pStyle w:val="Odstavecseseznamem"/>
        <w:spacing w:before="120" w:line="240" w:lineRule="auto"/>
        <w:ind w:left="0" w:firstLine="284"/>
        <w:contextualSpacing w:val="0"/>
        <w:jc w:val="both"/>
        <w:rPr>
          <w:rFonts w:ascii="Times New Roman" w:hAnsi="Times New Roman"/>
          <w:sz w:val="24"/>
        </w:rPr>
      </w:pPr>
      <w:r w:rsidRPr="00ED7505">
        <w:rPr>
          <w:rFonts w:ascii="Times New Roman" w:hAnsi="Times New Roman"/>
          <w:sz w:val="24"/>
        </w:rPr>
        <w:t xml:space="preserve">V případě tohoto druhu cisternového vozu je použit senzor teploty a jednoosým snímačem zrychlením ve vertikálním směru, což je zobrazeno růžovou barvou. Přeprava s využitým telematického systému je mezi ropnou rafinérií v Leuně a úložištěm v Halle. Telematický systém je nainstalován s vlastním vypínačem kvůli bezpečnosti před výbuchem. </w:t>
      </w:r>
    </w:p>
    <w:p w:rsidR="00805A67" w:rsidRPr="00ED7505" w:rsidRDefault="00805A67" w:rsidP="00ED36B9">
      <w:pPr>
        <w:pStyle w:val="Odstavecseseznamem"/>
        <w:spacing w:before="120" w:line="240" w:lineRule="auto"/>
        <w:ind w:left="0" w:firstLine="431"/>
        <w:contextualSpacing w:val="0"/>
        <w:jc w:val="both"/>
        <w:rPr>
          <w:rFonts w:ascii="Times New Roman" w:hAnsi="Times New Roman"/>
          <w:sz w:val="24"/>
        </w:rPr>
      </w:pPr>
      <w:r w:rsidRPr="00ED7505">
        <w:rPr>
          <w:rFonts w:ascii="Times New Roman" w:hAnsi="Times New Roman"/>
          <w:sz w:val="24"/>
        </w:rPr>
        <w:t xml:space="preserve">Posledním typem cisternového vozu je vůz pro přepravu stlačeného zemního plynu, který je vybaven nejvíce senzory. </w:t>
      </w:r>
    </w:p>
    <w:p w:rsidR="00AA493B" w:rsidRDefault="00AA493B" w:rsidP="00595C5E">
      <w:pPr>
        <w:pStyle w:val="Odstavecseseznamem"/>
        <w:ind w:left="0" w:firstLine="0"/>
        <w:jc w:val="center"/>
        <w:rPr>
          <w:rFonts w:ascii="Times New Roman" w:hAnsi="Times New Roman"/>
          <w:sz w:val="24"/>
        </w:rPr>
      </w:pPr>
      <w:r>
        <w:rPr>
          <w:rFonts w:ascii="Times New Roman" w:hAnsi="Times New Roman"/>
          <w:noProof/>
          <w:sz w:val="24"/>
        </w:rPr>
        <w:drawing>
          <wp:inline distT="0" distB="0" distL="0" distR="0">
            <wp:extent cx="4962525" cy="1505995"/>
            <wp:effectExtent l="19050" t="0" r="9525" b="0"/>
            <wp:docPr id="26" name="Obrázek 16" descr="cisterna_pl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sterna_plyn.jpg"/>
                    <pic:cNvPicPr/>
                  </pic:nvPicPr>
                  <pic:blipFill>
                    <a:blip r:embed="rId39" cstate="print"/>
                    <a:stretch>
                      <a:fillRect/>
                    </a:stretch>
                  </pic:blipFill>
                  <pic:spPr>
                    <a:xfrm>
                      <a:off x="0" y="0"/>
                      <a:ext cx="4962525" cy="1505995"/>
                    </a:xfrm>
                    <a:prstGeom prst="rect">
                      <a:avLst/>
                    </a:prstGeom>
                  </pic:spPr>
                </pic:pic>
              </a:graphicData>
            </a:graphic>
          </wp:inline>
        </w:drawing>
      </w:r>
    </w:p>
    <w:p w:rsidR="00595C5E" w:rsidRPr="00595C5E" w:rsidRDefault="00595C5E" w:rsidP="00595C5E">
      <w:pPr>
        <w:pStyle w:val="Odstavecseseznamem"/>
        <w:ind w:left="0" w:firstLine="0"/>
        <w:jc w:val="center"/>
        <w:rPr>
          <w:rFonts w:ascii="Times New Roman" w:hAnsi="Times New Roman"/>
          <w:i/>
          <w:sz w:val="24"/>
        </w:rPr>
      </w:pPr>
      <w:r w:rsidRPr="00595C5E">
        <w:rPr>
          <w:rFonts w:ascii="Times New Roman" w:hAnsi="Times New Roman"/>
          <w:i/>
          <w:sz w:val="24"/>
        </w:rPr>
        <w:t>DE - Obr. 10. – Cisternový vůz pro přepravu stlačeného zemního plynu</w:t>
      </w:r>
      <w:r w:rsidR="002D291E">
        <w:rPr>
          <w:rFonts w:ascii="Times New Roman" w:hAnsi="Times New Roman"/>
          <w:i/>
          <w:sz w:val="24"/>
        </w:rPr>
        <w:t xml:space="preserve">, </w:t>
      </w:r>
      <w:r w:rsidR="002D291E" w:rsidRPr="006141B5">
        <w:rPr>
          <w:rFonts w:ascii="Times New Roman" w:hAnsi="Times New Roman"/>
          <w:i/>
          <w:sz w:val="24"/>
        </w:rPr>
        <w:t>Zdroj [DE19]</w:t>
      </w:r>
    </w:p>
    <w:p w:rsidR="00805A67" w:rsidRPr="00ED7505" w:rsidRDefault="00805A67" w:rsidP="00ED36B9">
      <w:pPr>
        <w:pStyle w:val="Odstavecseseznamem"/>
        <w:spacing w:line="240" w:lineRule="auto"/>
        <w:ind w:left="0" w:firstLine="284"/>
        <w:jc w:val="both"/>
        <w:rPr>
          <w:rFonts w:ascii="Times New Roman" w:hAnsi="Times New Roman"/>
          <w:sz w:val="24"/>
        </w:rPr>
      </w:pPr>
      <w:r w:rsidRPr="00ED7505">
        <w:rPr>
          <w:rFonts w:ascii="Times New Roman" w:hAnsi="Times New Roman"/>
          <w:sz w:val="24"/>
        </w:rPr>
        <w:lastRenderedPageBreak/>
        <w:t xml:space="preserve">Kromě telematických jednotek (zelená, modrá) je </w:t>
      </w:r>
      <w:r w:rsidR="002D291E">
        <w:rPr>
          <w:rFonts w:ascii="Times New Roman" w:hAnsi="Times New Roman"/>
          <w:sz w:val="24"/>
        </w:rPr>
        <w:t xml:space="preserve">vůz </w:t>
      </w:r>
      <w:r w:rsidRPr="00ED7505">
        <w:rPr>
          <w:rFonts w:ascii="Times New Roman" w:hAnsi="Times New Roman"/>
          <w:sz w:val="24"/>
        </w:rPr>
        <w:t>vybaven teplotním senzorem, jízdním senzorem na pohyb pružin</w:t>
      </w:r>
      <w:r w:rsidR="00595C5E">
        <w:rPr>
          <w:rFonts w:ascii="Times New Roman" w:hAnsi="Times New Roman"/>
          <w:sz w:val="24"/>
        </w:rPr>
        <w:t xml:space="preserve"> (růžová)</w:t>
      </w:r>
      <w:r w:rsidR="002A0A91">
        <w:rPr>
          <w:rFonts w:ascii="Times New Roman" w:hAnsi="Times New Roman"/>
          <w:sz w:val="24"/>
        </w:rPr>
        <w:t xml:space="preserve"> </w:t>
      </w:r>
      <w:r w:rsidRPr="00ED7505">
        <w:rPr>
          <w:rFonts w:ascii="Times New Roman" w:hAnsi="Times New Roman"/>
          <w:sz w:val="24"/>
        </w:rPr>
        <w:t xml:space="preserve">a dále také tlakovým senzorem, který je vyobrazen oranžovou barvou. </w:t>
      </w:r>
      <w:r w:rsidR="002D291E">
        <w:rPr>
          <w:rFonts w:ascii="Times New Roman" w:hAnsi="Times New Roman"/>
          <w:sz w:val="24"/>
        </w:rPr>
        <w:t>Senzor pohybu pružin je umí</w:t>
      </w:r>
      <w:r w:rsidR="002A0A91">
        <w:rPr>
          <w:rFonts w:ascii="Times New Roman" w:hAnsi="Times New Roman"/>
          <w:sz w:val="24"/>
        </w:rPr>
        <w:t>s</w:t>
      </w:r>
      <w:r w:rsidR="002D291E">
        <w:rPr>
          <w:rFonts w:ascii="Times New Roman" w:hAnsi="Times New Roman"/>
          <w:sz w:val="24"/>
        </w:rPr>
        <w:t xml:space="preserve">těn na pružinách nákladního vagonu a jeho účelem je sledování stavu pružin. Varovný signál vydá v případě, že dojde k jejich zlomení. </w:t>
      </w:r>
      <w:r w:rsidRPr="00ED7505">
        <w:rPr>
          <w:rFonts w:ascii="Times New Roman" w:hAnsi="Times New Roman"/>
          <w:sz w:val="24"/>
        </w:rPr>
        <w:t>Systém je využíván pro přepravu mezi místem produkce (Marl) a skladem v Nizozemsku (Fissingen).</w:t>
      </w:r>
    </w:p>
    <w:p w:rsidR="00805A67" w:rsidRDefault="00805A67" w:rsidP="00ED36B9">
      <w:pPr>
        <w:pStyle w:val="Odstavecseseznamem"/>
        <w:spacing w:before="120" w:line="240" w:lineRule="auto"/>
        <w:ind w:left="0" w:firstLine="284"/>
        <w:contextualSpacing w:val="0"/>
        <w:jc w:val="both"/>
        <w:rPr>
          <w:rFonts w:ascii="Times New Roman" w:hAnsi="Times New Roman"/>
          <w:sz w:val="24"/>
        </w:rPr>
      </w:pPr>
      <w:r w:rsidRPr="00ED7505">
        <w:rPr>
          <w:rFonts w:ascii="Times New Roman" w:hAnsi="Times New Roman"/>
          <w:sz w:val="24"/>
        </w:rPr>
        <w:t>Jak již bylo zmíněno, systém umožňuje sledování i mimo území daného státu, čehož se také využívá, například na trase Německo – Finsko. Jedná se o Fahrzeugflotten–Informations–Systém (FIS).</w:t>
      </w:r>
    </w:p>
    <w:p w:rsidR="005A0798" w:rsidRPr="005A0798" w:rsidRDefault="005A0798" w:rsidP="00ED36B9">
      <w:pPr>
        <w:pStyle w:val="Odstavecseseznamem"/>
        <w:spacing w:before="120" w:line="240" w:lineRule="auto"/>
        <w:ind w:left="0" w:firstLine="284"/>
        <w:contextualSpacing w:val="0"/>
        <w:jc w:val="both"/>
        <w:rPr>
          <w:rFonts w:ascii="Times New Roman" w:hAnsi="Times New Roman"/>
          <w:sz w:val="10"/>
        </w:rPr>
      </w:pPr>
    </w:p>
    <w:p w:rsidR="00953034" w:rsidRDefault="00805A67" w:rsidP="00B6255B">
      <w:pPr>
        <w:spacing w:after="0"/>
        <w:ind w:firstLine="0"/>
        <w:jc w:val="center"/>
      </w:pPr>
      <w:r w:rsidRPr="00ED7505">
        <w:rPr>
          <w:noProof/>
        </w:rPr>
        <w:drawing>
          <wp:inline distT="0" distB="0" distL="0" distR="0">
            <wp:extent cx="3562350" cy="2619375"/>
            <wp:effectExtent l="19050" t="0" r="0" b="0"/>
            <wp:docPr id="27" name="Obrázek 18" descr="F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S.jpg"/>
                    <pic:cNvPicPr/>
                  </pic:nvPicPr>
                  <pic:blipFill>
                    <a:blip r:embed="rId40" cstate="print"/>
                    <a:stretch>
                      <a:fillRect/>
                    </a:stretch>
                  </pic:blipFill>
                  <pic:spPr>
                    <a:xfrm>
                      <a:off x="0" y="0"/>
                      <a:ext cx="3562350" cy="2619375"/>
                    </a:xfrm>
                    <a:prstGeom prst="rect">
                      <a:avLst/>
                    </a:prstGeom>
                  </pic:spPr>
                </pic:pic>
              </a:graphicData>
            </a:graphic>
          </wp:inline>
        </w:drawing>
      </w:r>
    </w:p>
    <w:p w:rsidR="00B6255B" w:rsidRPr="00B6255B" w:rsidRDefault="00B6255B" w:rsidP="005A0798">
      <w:pPr>
        <w:spacing w:before="120" w:after="0"/>
        <w:jc w:val="center"/>
        <w:rPr>
          <w:i/>
        </w:rPr>
      </w:pPr>
      <w:r w:rsidRPr="00B6255B">
        <w:rPr>
          <w:i/>
        </w:rPr>
        <w:t xml:space="preserve">DE – Obr. 11. </w:t>
      </w:r>
      <w:r w:rsidR="00E429EE">
        <w:rPr>
          <w:i/>
        </w:rPr>
        <w:t>–</w:t>
      </w:r>
      <w:r w:rsidRPr="00B6255B">
        <w:rPr>
          <w:i/>
        </w:rPr>
        <w:t xml:space="preserve"> FIS</w:t>
      </w:r>
      <w:r w:rsidR="00E429EE">
        <w:rPr>
          <w:i/>
        </w:rPr>
        <w:t xml:space="preserve">, </w:t>
      </w:r>
      <w:r w:rsidR="00E429EE" w:rsidRPr="006141B5">
        <w:rPr>
          <w:i/>
        </w:rPr>
        <w:t>Zdroj [DE19]</w:t>
      </w:r>
    </w:p>
    <w:p w:rsidR="00805A67" w:rsidRPr="00ED7505" w:rsidRDefault="00805A67" w:rsidP="00B6255B">
      <w:pPr>
        <w:spacing w:before="120" w:after="0"/>
        <w:ind w:firstLine="284"/>
      </w:pPr>
      <w:r w:rsidRPr="00ED7505">
        <w:t>Při aplikaci systému je vidět nejen cesta daného vozu, v tomto případě cesta z Augsburgu do Äänekoski, ale také jeho zastávky s informacemi jako je například čas strávený na daném místě. Dalším sledovaným parametrem může být rychlost vozu.</w:t>
      </w:r>
    </w:p>
    <w:p w:rsidR="00805A67" w:rsidRPr="00ED7505" w:rsidRDefault="00805A67" w:rsidP="00B6255B">
      <w:pPr>
        <w:spacing w:before="120" w:after="0"/>
        <w:ind w:firstLine="284"/>
      </w:pPr>
      <w:r w:rsidRPr="00ED7505">
        <w:t xml:space="preserve">Soubor: </w:t>
      </w:r>
      <w:r w:rsidR="00B6255B" w:rsidRPr="006141B5">
        <w:t>DE_1</w:t>
      </w:r>
      <w:r w:rsidR="00B26E3D">
        <w:t>9</w:t>
      </w:r>
      <w:r w:rsidRPr="006141B5">
        <w:t>_Filova.pdf</w:t>
      </w:r>
      <w:r w:rsidRPr="00ED7505">
        <w:rPr>
          <w:i/>
        </w:rPr>
        <w:t xml:space="preserve"> </w:t>
      </w:r>
    </w:p>
    <w:p w:rsidR="00805A67" w:rsidRPr="004C4A42" w:rsidRDefault="00805A67" w:rsidP="00B6255B">
      <w:pPr>
        <w:spacing w:before="120" w:after="0"/>
        <w:ind w:firstLine="284"/>
      </w:pPr>
      <w:r w:rsidRPr="004C4A42">
        <w:t>Kromě telematického systému</w:t>
      </w:r>
      <w:r>
        <w:t xml:space="preserve"> pro určení přesné polohy vlaku</w:t>
      </w:r>
      <w:r w:rsidRPr="004C4A42">
        <w:t xml:space="preserve"> jsou velice důležité senzory pohybů. Ty hrají v případě přepravy nebezpečných </w:t>
      </w:r>
      <w:r w:rsidR="00D3149E">
        <w:t>věcí</w:t>
      </w:r>
      <w:r w:rsidRPr="004C4A42">
        <w:t xml:space="preserve"> velmi důležitou roli, jelikož není kontakt mezi člověkem a převáženým materiálem. Stěžejní senzory jsou vybaveny, jak již bylo zmíněno, integrovanou jednotkou pro vlastní posouzení</w:t>
      </w:r>
      <w:r w:rsidR="00D3149E">
        <w:t xml:space="preserve"> stavu</w:t>
      </w:r>
      <w:r w:rsidRPr="004C4A42">
        <w:t xml:space="preserve">. Sledují se nejen </w:t>
      </w:r>
      <w:r w:rsidR="00B6255B">
        <w:t>uvedené</w:t>
      </w:r>
      <w:r w:rsidRPr="004C4A42">
        <w:t xml:space="preserve"> parametry (teplota, tlak, zrychlení)</w:t>
      </w:r>
      <w:r w:rsidRPr="00B6255B">
        <w:t xml:space="preserve">, </w:t>
      </w:r>
      <w:r w:rsidRPr="004C4A42">
        <w:t>ale ve vozech jsou umístěné i senzory pro sledování pohybu materiálu ve voze či senzory sledující pružiny a jejich možné zlomení.</w:t>
      </w:r>
    </w:p>
    <w:p w:rsidR="00805A67" w:rsidRPr="004C4A42" w:rsidRDefault="00805A67" w:rsidP="00B6255B">
      <w:pPr>
        <w:spacing w:before="120" w:after="0"/>
        <w:ind w:firstLine="284"/>
      </w:pPr>
      <w:r w:rsidRPr="004C4A42">
        <w:t>Úkol telematického systému je jasný –</w:t>
      </w:r>
      <w:r w:rsidR="00D3149E">
        <w:t xml:space="preserve"> </w:t>
      </w:r>
      <w:r w:rsidRPr="004C4A42">
        <w:t xml:space="preserve">určení polohy. Lokalizace musí být dostatečně přesná ve všech případech. Tedy i v případě dopravny s rozsáhlým kolejovým větvením musí být </w:t>
      </w:r>
      <w:r w:rsidR="00065334">
        <w:t xml:space="preserve">systém </w:t>
      </w:r>
      <w:r w:rsidRPr="004C4A42">
        <w:t>schopen identifikovat jeho přesnou polohu, tj.</w:t>
      </w:r>
      <w:r w:rsidRPr="00953034">
        <w:t xml:space="preserve">, </w:t>
      </w:r>
      <w:r w:rsidRPr="004C4A42">
        <w:t xml:space="preserve">na které koleji se daný vůz nachází. Jeho funkčnost musí být zajištěna i v případě přechodu vozu s nebezpečným nákladem z jednoho vlaku na druhý v dané stanici. </w:t>
      </w:r>
    </w:p>
    <w:p w:rsidR="00953034" w:rsidRDefault="00805A67" w:rsidP="00B6255B">
      <w:pPr>
        <w:spacing w:after="0"/>
        <w:ind w:firstLine="0"/>
        <w:jc w:val="center"/>
      </w:pPr>
      <w:r w:rsidRPr="004C4A42">
        <w:rPr>
          <w:noProof/>
        </w:rPr>
        <w:lastRenderedPageBreak/>
        <w:drawing>
          <wp:inline distT="0" distB="0" distL="0" distR="0">
            <wp:extent cx="3933825" cy="1943100"/>
            <wp:effectExtent l="19050" t="0" r="9525" b="0"/>
            <wp:docPr id="28" name="Obrázek 6" descr="Eurobalíz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robalíza_2.jpg"/>
                    <pic:cNvPicPr/>
                  </pic:nvPicPr>
                  <pic:blipFill>
                    <a:blip r:embed="rId41" cstate="print"/>
                    <a:stretch>
                      <a:fillRect/>
                    </a:stretch>
                  </pic:blipFill>
                  <pic:spPr>
                    <a:xfrm>
                      <a:off x="0" y="0"/>
                      <a:ext cx="3933825" cy="1943100"/>
                    </a:xfrm>
                    <a:prstGeom prst="rect">
                      <a:avLst/>
                    </a:prstGeom>
                  </pic:spPr>
                </pic:pic>
              </a:graphicData>
            </a:graphic>
          </wp:inline>
        </w:drawing>
      </w:r>
    </w:p>
    <w:p w:rsidR="00B6255B" w:rsidRPr="00B6255B" w:rsidRDefault="00B6255B" w:rsidP="00B6255B">
      <w:pPr>
        <w:spacing w:before="120"/>
        <w:ind w:firstLine="0"/>
        <w:jc w:val="center"/>
        <w:rPr>
          <w:i/>
        </w:rPr>
      </w:pPr>
      <w:r w:rsidRPr="00B6255B">
        <w:rPr>
          <w:i/>
        </w:rPr>
        <w:t xml:space="preserve">DE – Obr. 2. </w:t>
      </w:r>
      <w:r w:rsidR="00775EE9">
        <w:rPr>
          <w:i/>
        </w:rPr>
        <w:t>–</w:t>
      </w:r>
      <w:r w:rsidRPr="00B6255B">
        <w:rPr>
          <w:i/>
        </w:rPr>
        <w:t xml:space="preserve"> ETCS</w:t>
      </w:r>
      <w:r w:rsidR="00775EE9">
        <w:rPr>
          <w:i/>
        </w:rPr>
        <w:t xml:space="preserve">, </w:t>
      </w:r>
      <w:r w:rsidR="00775EE9" w:rsidRPr="006141B5">
        <w:rPr>
          <w:i/>
        </w:rPr>
        <w:t>Zdroj [DE</w:t>
      </w:r>
      <w:r w:rsidR="00775EE9">
        <w:rPr>
          <w:i/>
        </w:rPr>
        <w:t>20</w:t>
      </w:r>
      <w:r w:rsidR="00775EE9" w:rsidRPr="006141B5">
        <w:rPr>
          <w:i/>
        </w:rPr>
        <w:t>]</w:t>
      </w:r>
    </w:p>
    <w:p w:rsidR="00805A67" w:rsidRPr="004C4A42" w:rsidRDefault="00805A67" w:rsidP="00B6255B">
      <w:pPr>
        <w:spacing w:before="120" w:after="0"/>
        <w:ind w:firstLine="284"/>
      </w:pPr>
      <w:r w:rsidRPr="004C4A42">
        <w:t xml:space="preserve">Jednou z možností určování polohy je nepřímá detekce z provozních dat. Tato metoda nespočívá v přímých telematických aplikacích a není zcela přesná. Další možností je přímé určování polohy pomocí zabezpečovacího systému (ETCS – European Train Control System) nebo pomocí satelitní navigace. Přímé určování polohy pomocí ETCS se zkouší v Německu, Rakousku a Švýcarsku na vybraných traťových úsecích. Měl by postupně nahradit asi 20 různých národních systémů vlakových </w:t>
      </w:r>
      <w:r w:rsidRPr="0020221E">
        <w:t>zabezpečovacích zařízení a umožnit tak vedení vlaků po celém území Evropy bez nutnosti výměny</w:t>
      </w:r>
      <w:r w:rsidRPr="004C4A42">
        <w:t xml:space="preserve"> hnacích vozidel na hranicích či bez potřeby vybavení hnacích vozidel různými národními systémy. Základním prostředkem pro přenos informací na vozidlo je Eurobalíza. </w:t>
      </w:r>
    </w:p>
    <w:p w:rsidR="00805A67" w:rsidRPr="004C4A42" w:rsidRDefault="00805A67" w:rsidP="00B6255B">
      <w:pPr>
        <w:spacing w:before="120" w:after="0"/>
        <w:ind w:firstLine="284"/>
      </w:pPr>
      <w:r w:rsidRPr="004C4A42">
        <w:t xml:space="preserve">Při přímé lokalizace pomocí satelitní navigace je poloha vozu vypočítávána z nejméně </w:t>
      </w:r>
      <w:r w:rsidR="00065334">
        <w:t>4</w:t>
      </w:r>
      <w:r w:rsidRPr="004C4A42">
        <w:t xml:space="preserve"> signál</w:t>
      </w:r>
      <w:r w:rsidR="00065334">
        <w:t>ů</w:t>
      </w:r>
      <w:r w:rsidRPr="004C4A42">
        <w:t xml:space="preserve"> z geostacionárních družic. Určení polohy je přesné pouze v případě „přímé viditelnosti“. V tunelech či hustě obydlených oblastí je systém nefunkční. I přes tyto nevýhody se jeví satelitní navigace pro případy nebezpečných věcí jako nejlepší kompromis. </w:t>
      </w:r>
    </w:p>
    <w:p w:rsidR="00805A67" w:rsidRPr="004C4A42" w:rsidRDefault="00805A67" w:rsidP="00B6255B">
      <w:pPr>
        <w:spacing w:before="120" w:after="0"/>
        <w:ind w:firstLine="284"/>
      </w:pPr>
      <w:r w:rsidRPr="004C4A42">
        <w:t>Inteligentní nákladní vozy budou vybaveny složkami telematického systému, které budou schopny komunikovat se svým okolím. Nejdůležitější komunikační systémy jsou uvedeny na obrázku na následující stránce a zde je jejich stručný popis.</w:t>
      </w:r>
    </w:p>
    <w:p w:rsidR="00805A67" w:rsidRPr="004C4A42" w:rsidRDefault="00805A67" w:rsidP="00B6255B">
      <w:pPr>
        <w:spacing w:before="120" w:after="0"/>
        <w:ind w:firstLine="284"/>
      </w:pPr>
      <w:r w:rsidRPr="004C4A42">
        <w:t xml:space="preserve">Stávající analogový rádiový systém v železničním provozu není v Evropě jednotný a má </w:t>
      </w:r>
      <w:r w:rsidRPr="009555C3">
        <w:t xml:space="preserve">pouze </w:t>
      </w:r>
      <w:r w:rsidRPr="004C4A42">
        <w:t xml:space="preserve">omezené datové kapacity. Zároveň by ale neměly být budovány vlastní rádiové systémy pro telematiku v oblasti přepravy nebezpečných věcí. </w:t>
      </w:r>
    </w:p>
    <w:p w:rsidR="00805A67" w:rsidRPr="002E085D" w:rsidRDefault="00805A67" w:rsidP="00B6255B">
      <w:pPr>
        <w:spacing w:before="120" w:after="0"/>
        <w:ind w:firstLine="284"/>
      </w:pPr>
      <w:r w:rsidRPr="004C4A42">
        <w:t xml:space="preserve">V principu je doporučené využívání veřejných mobilní sítí v rámci Evropy pro telematiku nebezpečných věcí, i když použití je závislé na pokrytí železničních sítí, které je v některých </w:t>
      </w:r>
      <w:r w:rsidRPr="002E085D">
        <w:t xml:space="preserve">zemích stále nízké. </w:t>
      </w:r>
    </w:p>
    <w:p w:rsidR="00805A67" w:rsidRDefault="00805A67" w:rsidP="00B6255B">
      <w:pPr>
        <w:spacing w:before="120" w:after="0"/>
        <w:ind w:firstLine="284"/>
      </w:pPr>
      <w:r w:rsidRPr="004C4A42">
        <w:t>Satelitní komunikace m</w:t>
      </w:r>
      <w:r w:rsidR="00065334">
        <w:t>ezi vlakem a cestou je používaná</w:t>
      </w:r>
      <w:r w:rsidRPr="004C4A42">
        <w:t xml:space="preserve"> pro komunikaci kolejových vozidel. Teoreticky je komunikace možná po celé Evropě, v praxi je však omezen na „přímou viditelnost“ mezi satelitem a anténou umístěnou na voze. </w:t>
      </w:r>
    </w:p>
    <w:p w:rsidR="002E085D" w:rsidRPr="004C4A42" w:rsidRDefault="002E085D" w:rsidP="00B6255B">
      <w:pPr>
        <w:spacing w:before="120" w:after="0"/>
        <w:ind w:firstLine="284"/>
      </w:pPr>
      <w:r w:rsidRPr="004C4A42">
        <w:t xml:space="preserve">Pro telematiku nebezpečných věcí je velmi doporučovaný systém GSM-R (Global System for Mobile Communications – Railway), což je standard bezdrátové komunikace pro železniční aplikace a </w:t>
      </w:r>
      <w:r>
        <w:t xml:space="preserve">je založený na technologii GSM. </w:t>
      </w:r>
    </w:p>
    <w:p w:rsidR="00BF67A0" w:rsidRDefault="00BF67A0" w:rsidP="00B6255B">
      <w:pPr>
        <w:spacing w:before="120" w:after="0"/>
        <w:ind w:firstLine="284"/>
        <w:jc w:val="left"/>
      </w:pPr>
      <w:r>
        <w:t xml:space="preserve">Zdroj: </w:t>
      </w:r>
      <w:hyperlink r:id="rId42" w:history="1">
        <w:r>
          <w:rPr>
            <w:rStyle w:val="Hypertextovodkaz"/>
          </w:rPr>
          <w:t>http://www.deine-bahn.de/taxonomy/term/373</w:t>
        </w:r>
      </w:hyperlink>
    </w:p>
    <w:p w:rsidR="00B6255B" w:rsidRDefault="00B6255B" w:rsidP="00953034">
      <w:pPr>
        <w:spacing w:after="0"/>
        <w:ind w:firstLine="284"/>
        <w:jc w:val="left"/>
      </w:pPr>
      <w:r>
        <w:t xml:space="preserve">Soubor: </w:t>
      </w:r>
      <w:r w:rsidRPr="00B6255B">
        <w:t>DE_</w:t>
      </w:r>
      <w:r w:rsidR="00B57762">
        <w:t>21</w:t>
      </w:r>
      <w:r w:rsidRPr="00B6255B">
        <w:t>_Kommunikation im Bahnbetrieb</w:t>
      </w:r>
      <w:r>
        <w:t>.pdf</w:t>
      </w:r>
    </w:p>
    <w:p w:rsidR="00B6255B" w:rsidRDefault="00B6255B" w:rsidP="00B6255B">
      <w:pPr>
        <w:spacing w:before="120" w:after="0"/>
        <w:ind w:firstLine="284"/>
      </w:pPr>
      <w:r>
        <w:t>GSM-R je používaný systém německou společností DB Netz AG. Tat</w:t>
      </w:r>
      <w:r w:rsidR="00A634FE">
        <w:t>o mobilní síť poskytuje jednotnou, standardizovanou</w:t>
      </w:r>
      <w:r>
        <w:t xml:space="preserve"> a interoperabilní platformu. Síťová architektura je navržena v souladu s příslušnými normami GSM a je velmi podobná stávajícím</w:t>
      </w:r>
      <w:r w:rsidR="00011CFA">
        <w:t>u systému</w:t>
      </w:r>
      <w:r>
        <w:t xml:space="preserve"> veřejné </w:t>
      </w:r>
      <w:r w:rsidR="00011CFA">
        <w:t xml:space="preserve">sítě GSM. Orientuje se především na požadované dopravní zatížení a funkční </w:t>
      </w:r>
      <w:r w:rsidR="00011CFA">
        <w:lastRenderedPageBreak/>
        <w:t xml:space="preserve">dostupnost. Architekturu sítě lze rozdělit do následujících 3 subsystémů, které jsou patrné z obrázku </w:t>
      </w:r>
      <w:r w:rsidR="00011CFA" w:rsidRPr="00011CFA">
        <w:rPr>
          <w:i/>
        </w:rPr>
        <w:t>DE – Obr. 13. – Architektura GSM-R</w:t>
      </w:r>
      <w:r w:rsidR="00011CFA">
        <w:t xml:space="preserve">. </w:t>
      </w:r>
    </w:p>
    <w:p w:rsidR="00011CFA" w:rsidRDefault="00011CFA" w:rsidP="00011CFA">
      <w:pPr>
        <w:spacing w:before="120" w:after="0"/>
        <w:ind w:firstLine="0"/>
        <w:jc w:val="center"/>
      </w:pPr>
      <w:r>
        <w:rPr>
          <w:noProof/>
        </w:rPr>
        <w:drawing>
          <wp:inline distT="0" distB="0" distL="0" distR="0">
            <wp:extent cx="5760720" cy="2687320"/>
            <wp:effectExtent l="19050" t="0" r="0" b="0"/>
            <wp:docPr id="7" name="Obrázek 6" descr="GSM-R_20Architektu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SM-R_20Architektur.jpeg"/>
                    <pic:cNvPicPr/>
                  </pic:nvPicPr>
                  <pic:blipFill>
                    <a:blip r:embed="rId43" cstate="print"/>
                    <a:stretch>
                      <a:fillRect/>
                    </a:stretch>
                  </pic:blipFill>
                  <pic:spPr>
                    <a:xfrm>
                      <a:off x="0" y="0"/>
                      <a:ext cx="5760720" cy="2687320"/>
                    </a:xfrm>
                    <a:prstGeom prst="rect">
                      <a:avLst/>
                    </a:prstGeom>
                  </pic:spPr>
                </pic:pic>
              </a:graphicData>
            </a:graphic>
          </wp:inline>
        </w:drawing>
      </w:r>
    </w:p>
    <w:p w:rsidR="00011CFA" w:rsidRPr="005A0798" w:rsidRDefault="00011CFA" w:rsidP="00011CFA">
      <w:pPr>
        <w:spacing w:before="120"/>
        <w:ind w:firstLine="284"/>
        <w:jc w:val="center"/>
        <w:rPr>
          <w:i/>
        </w:rPr>
      </w:pPr>
      <w:r w:rsidRPr="005A0798">
        <w:rPr>
          <w:i/>
        </w:rPr>
        <w:t>DE – Obr. 13. – Architektura GSM-R</w:t>
      </w:r>
      <w:r w:rsidR="00775EE9">
        <w:rPr>
          <w:i/>
        </w:rPr>
        <w:t xml:space="preserve">, Zdroj </w:t>
      </w:r>
      <w:r w:rsidR="00775EE9" w:rsidRPr="006141B5">
        <w:rPr>
          <w:i/>
        </w:rPr>
        <w:t>[DE</w:t>
      </w:r>
      <w:r w:rsidR="00775EE9">
        <w:rPr>
          <w:i/>
        </w:rPr>
        <w:t>22</w:t>
      </w:r>
      <w:r w:rsidR="00775EE9" w:rsidRPr="006141B5">
        <w:rPr>
          <w:i/>
        </w:rPr>
        <w:t>]</w:t>
      </w:r>
    </w:p>
    <w:p w:rsidR="00011CFA" w:rsidRDefault="00011CFA" w:rsidP="00611D3B">
      <w:pPr>
        <w:spacing w:after="0"/>
        <w:ind w:firstLine="284"/>
      </w:pPr>
      <w:r>
        <w:t>Subsystémy GSM-R lze rozdělit na :</w:t>
      </w:r>
    </w:p>
    <w:p w:rsidR="00011CFA" w:rsidRPr="00011CFA" w:rsidRDefault="00011CFA" w:rsidP="00611D3B">
      <w:pPr>
        <w:pStyle w:val="Odstavecseseznamem"/>
        <w:numPr>
          <w:ilvl w:val="0"/>
          <w:numId w:val="45"/>
        </w:numPr>
        <w:jc w:val="both"/>
        <w:rPr>
          <w:rFonts w:ascii="Times New Roman" w:hAnsi="Times New Roman"/>
          <w:sz w:val="24"/>
        </w:rPr>
      </w:pPr>
      <w:r w:rsidRPr="00011CFA">
        <w:rPr>
          <w:rFonts w:ascii="Times New Roman" w:hAnsi="Times New Roman"/>
          <w:color w:val="000000"/>
          <w:sz w:val="24"/>
          <w:szCs w:val="20"/>
          <w:shd w:val="clear" w:color="auto" w:fill="FFFFFF"/>
        </w:rPr>
        <w:t>Base Station Subsystem (BSS)</w:t>
      </w:r>
    </w:p>
    <w:p w:rsidR="00011CFA" w:rsidRPr="00011CFA" w:rsidRDefault="00011CFA" w:rsidP="00611D3B">
      <w:pPr>
        <w:pStyle w:val="Odstavecseseznamem"/>
        <w:numPr>
          <w:ilvl w:val="0"/>
          <w:numId w:val="45"/>
        </w:numPr>
        <w:jc w:val="both"/>
        <w:rPr>
          <w:rFonts w:ascii="Times New Roman" w:hAnsi="Times New Roman"/>
          <w:sz w:val="24"/>
        </w:rPr>
      </w:pPr>
      <w:r w:rsidRPr="00011CFA">
        <w:rPr>
          <w:rFonts w:ascii="Times New Roman" w:hAnsi="Times New Roman"/>
          <w:color w:val="000000"/>
          <w:sz w:val="24"/>
          <w:shd w:val="clear" w:color="auto" w:fill="FFFFFF"/>
        </w:rPr>
        <w:t>Network Switching Subsystem (NSS)</w:t>
      </w:r>
    </w:p>
    <w:p w:rsidR="00011CFA" w:rsidRPr="00011CFA" w:rsidRDefault="00011CFA" w:rsidP="00611D3B">
      <w:pPr>
        <w:pStyle w:val="Odstavecseseznamem"/>
        <w:numPr>
          <w:ilvl w:val="0"/>
          <w:numId w:val="45"/>
        </w:numPr>
        <w:jc w:val="both"/>
        <w:rPr>
          <w:rFonts w:ascii="Times New Roman" w:hAnsi="Times New Roman"/>
          <w:sz w:val="24"/>
        </w:rPr>
      </w:pPr>
      <w:r w:rsidRPr="00011CFA">
        <w:rPr>
          <w:rFonts w:ascii="Times New Roman" w:hAnsi="Times New Roman"/>
          <w:color w:val="000000"/>
          <w:sz w:val="24"/>
          <w:shd w:val="clear" w:color="auto" w:fill="FFFFFF"/>
        </w:rPr>
        <w:t>Operational Support System (OSS)</w:t>
      </w:r>
    </w:p>
    <w:p w:rsidR="00011CFA" w:rsidRDefault="00611D3B" w:rsidP="00F614B5">
      <w:pPr>
        <w:spacing w:before="120" w:after="0"/>
        <w:ind w:firstLine="284"/>
        <w:rPr>
          <w:color w:val="000000"/>
          <w:shd w:val="clear" w:color="auto" w:fill="FFFFFF"/>
        </w:rPr>
      </w:pPr>
      <w:r>
        <w:t xml:space="preserve">Podrobnější informace o využití GSM-R v rámci Německa jsou dostupné na webových stránkách </w:t>
      </w:r>
      <w:hyperlink r:id="rId44" w:history="1">
        <w:r w:rsidRPr="00611D3B">
          <w:rPr>
            <w:rStyle w:val="Hypertextovodkaz"/>
            <w:color w:val="auto"/>
          </w:rPr>
          <w:t>http://fahrweg.dbnetze.com/site/dbnetz/de/technik/gsmr/ueber/uebergrsm-r.html</w:t>
        </w:r>
      </w:hyperlink>
      <w:r>
        <w:t xml:space="preserve"> </w:t>
      </w:r>
      <w:r w:rsidRPr="00611D3B">
        <w:t xml:space="preserve">v záložce </w:t>
      </w:r>
      <w:r w:rsidRPr="00611D3B">
        <w:rPr>
          <w:color w:val="000000"/>
          <w:shd w:val="clear" w:color="auto" w:fill="FFFFFF"/>
        </w:rPr>
        <w:t>Infrastruktur &amp; Technik, kategorie GSM-R</w:t>
      </w:r>
      <w:r>
        <w:rPr>
          <w:color w:val="000000"/>
          <w:shd w:val="clear" w:color="auto" w:fill="FFFFFF"/>
        </w:rPr>
        <w:t xml:space="preserve">, kde je uveden nejen základní popis funkce GSM-R sítě, ale i různé informace o postupném nasazování a nahrazování analogových rádiových systémů. V sekci Zugfunk jsou v záložce Regelwerke uvedeny i současné předpisy. </w:t>
      </w:r>
    </w:p>
    <w:p w:rsidR="00F614B5" w:rsidRDefault="00F614B5" w:rsidP="00F614B5">
      <w:pPr>
        <w:spacing w:before="120" w:after="0"/>
        <w:ind w:firstLine="284"/>
        <w:rPr>
          <w:color w:val="000000"/>
          <w:shd w:val="clear" w:color="auto" w:fill="FFFFFF"/>
        </w:rPr>
      </w:pPr>
      <w:r>
        <w:rPr>
          <w:color w:val="000000"/>
          <w:shd w:val="clear" w:color="auto" w:fill="FFFFFF"/>
        </w:rPr>
        <w:t xml:space="preserve">GSM-R je využíváno také pro komunikaci při posunu. Se zavedením digitální GSM-R souvisí i mnoho výhod. Mezi některé z nich patří například vysoká bezpečnost podnikových komunikacích v rámci společnosti, která není nijak ovlivněna jinými sítěmi, možnost speciálních skupinových hovorů či možnost kontaktovat odpovědnou osobu (dispečer). </w:t>
      </w:r>
    </w:p>
    <w:p w:rsidR="00611D3B" w:rsidRPr="00611D3B" w:rsidRDefault="00611D3B" w:rsidP="00F614B5">
      <w:pPr>
        <w:spacing w:before="120" w:after="0"/>
        <w:ind w:firstLine="284"/>
      </w:pPr>
      <w:r>
        <w:rPr>
          <w:color w:val="000000"/>
          <w:shd w:val="clear" w:color="auto" w:fill="FFFFFF"/>
        </w:rPr>
        <w:t xml:space="preserve">V příloze </w:t>
      </w:r>
      <w:r w:rsidRPr="00611D3B">
        <w:rPr>
          <w:noProof/>
        </w:rPr>
        <w:t>DE_</w:t>
      </w:r>
      <w:r w:rsidR="00B57762">
        <w:rPr>
          <w:noProof/>
        </w:rPr>
        <w:t>22</w:t>
      </w:r>
      <w:r>
        <w:rPr>
          <w:noProof/>
        </w:rPr>
        <w:t xml:space="preserve"> (níže) je </w:t>
      </w:r>
      <w:r w:rsidR="00F614B5">
        <w:rPr>
          <w:noProof/>
        </w:rPr>
        <w:t xml:space="preserve">soupis GSM-R uvedených do provozu. </w:t>
      </w:r>
    </w:p>
    <w:p w:rsidR="00BA711D" w:rsidRDefault="00F614B5" w:rsidP="00F614B5">
      <w:pPr>
        <w:spacing w:before="120" w:after="0"/>
        <w:ind w:firstLine="284"/>
        <w:jc w:val="left"/>
      </w:pPr>
      <w:r>
        <w:t>Zdroj</w:t>
      </w:r>
      <w:r w:rsidR="00775EE9">
        <w:t xml:space="preserve">: </w:t>
      </w:r>
      <w:hyperlink r:id="rId45" w:history="1">
        <w:r w:rsidR="00775EE9" w:rsidRPr="00F614B5">
          <w:rPr>
            <w:rStyle w:val="Hypertextovodkaz"/>
            <w:color w:val="auto"/>
          </w:rPr>
          <w:t>http://fahrweg.dbnetze.com/site/dbnetz/de/technik/gsmr/ueber/uebergrsm-r.html</w:t>
        </w:r>
      </w:hyperlink>
    </w:p>
    <w:p w:rsidR="00F614B5" w:rsidRDefault="00011CFA" w:rsidP="00F614B5">
      <w:pPr>
        <w:tabs>
          <w:tab w:val="left" w:pos="1134"/>
        </w:tabs>
        <w:spacing w:after="0"/>
        <w:ind w:firstLine="284"/>
        <w:rPr>
          <w:noProof/>
        </w:rPr>
      </w:pPr>
      <w:r>
        <w:rPr>
          <w:noProof/>
        </w:rPr>
        <w:t xml:space="preserve">Soubor: </w:t>
      </w:r>
      <w:r w:rsidR="00F614B5">
        <w:rPr>
          <w:noProof/>
        </w:rPr>
        <w:tab/>
      </w:r>
      <w:r w:rsidRPr="00011CFA">
        <w:rPr>
          <w:noProof/>
        </w:rPr>
        <w:t>DE_</w:t>
      </w:r>
      <w:r w:rsidR="00B57762">
        <w:rPr>
          <w:noProof/>
        </w:rPr>
        <w:t>22</w:t>
      </w:r>
      <w:r w:rsidRPr="00011CFA">
        <w:rPr>
          <w:noProof/>
        </w:rPr>
        <w:t>_DB Netz AG -Überblick-GSMR.pdf</w:t>
      </w:r>
    </w:p>
    <w:p w:rsidR="00597018" w:rsidRDefault="00F614B5" w:rsidP="00F614B5">
      <w:pPr>
        <w:tabs>
          <w:tab w:val="left" w:pos="1134"/>
        </w:tabs>
        <w:spacing w:after="0"/>
        <w:ind w:firstLine="0"/>
        <w:rPr>
          <w:noProof/>
        </w:rPr>
      </w:pPr>
      <w:r>
        <w:rPr>
          <w:noProof/>
        </w:rPr>
        <w:tab/>
      </w:r>
      <w:r w:rsidR="00611D3B" w:rsidRPr="00611D3B">
        <w:rPr>
          <w:noProof/>
        </w:rPr>
        <w:t>DE_</w:t>
      </w:r>
      <w:r w:rsidR="00B57762">
        <w:rPr>
          <w:noProof/>
        </w:rPr>
        <w:t>23</w:t>
      </w:r>
      <w:r w:rsidR="00611D3B" w:rsidRPr="00611D3B">
        <w:rPr>
          <w:noProof/>
        </w:rPr>
        <w:t>_gsmr__zugfunk__in__betrieb__liste</w:t>
      </w:r>
      <w:r w:rsidR="00611D3B">
        <w:rPr>
          <w:noProof/>
        </w:rPr>
        <w:t>.pdf</w:t>
      </w:r>
    </w:p>
    <w:p w:rsidR="00A634FE" w:rsidRDefault="00A634FE" w:rsidP="00A634FE">
      <w:pPr>
        <w:spacing w:before="120" w:after="0"/>
        <w:ind w:firstLine="284"/>
      </w:pPr>
      <w:r>
        <w:t xml:space="preserve">Systém GSM-R slouží pro veškerou komunikaci na železnici, tedy jak v nákladní přepravě, tak ale i v osobní dopravě. Snahou je, jak bylo uvedeno, získat neustálý dohled nad daným vozem, třeba jen jediným odstaveným v některé stanici. Tuto možnost ale GSM-R neumožňuje a proto vznikají návrhy na důslednější sledování polohy nákladního vozu. Na následujícím obrázku </w:t>
      </w:r>
      <w:r w:rsidRPr="00F614B5">
        <w:rPr>
          <w:i/>
        </w:rPr>
        <w:t>DE - Obr. 14. – Komunikace</w:t>
      </w:r>
      <w:r>
        <w:t xml:space="preserve"> je uveden způsob komunikace v současné době a její možný vývoj nejen mezi vagonem a kontrolním stanovištěm, ale také mezi vagony a lokomotivou. </w:t>
      </w:r>
    </w:p>
    <w:p w:rsidR="00805A67" w:rsidRDefault="00805A67" w:rsidP="00F614B5">
      <w:pPr>
        <w:spacing w:after="0"/>
        <w:ind w:firstLine="0"/>
        <w:jc w:val="center"/>
      </w:pPr>
      <w:r>
        <w:rPr>
          <w:noProof/>
        </w:rPr>
        <w:lastRenderedPageBreak/>
        <w:drawing>
          <wp:inline distT="0" distB="0" distL="0" distR="0">
            <wp:extent cx="4981575" cy="3067050"/>
            <wp:effectExtent l="19050" t="0" r="9525" b="0"/>
            <wp:docPr id="29" name="Obrázek 7" descr="Komunikace_vozidlo_infrastruk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ikace_vozidlo_infrastruktura.jpg"/>
                    <pic:cNvPicPr/>
                  </pic:nvPicPr>
                  <pic:blipFill>
                    <a:blip r:embed="rId46" cstate="print"/>
                    <a:stretch>
                      <a:fillRect/>
                    </a:stretch>
                  </pic:blipFill>
                  <pic:spPr>
                    <a:xfrm>
                      <a:off x="0" y="0"/>
                      <a:ext cx="4981575" cy="3067050"/>
                    </a:xfrm>
                    <a:prstGeom prst="rect">
                      <a:avLst/>
                    </a:prstGeom>
                  </pic:spPr>
                </pic:pic>
              </a:graphicData>
            </a:graphic>
          </wp:inline>
        </w:drawing>
      </w:r>
    </w:p>
    <w:p w:rsidR="00F614B5" w:rsidRPr="00F614B5" w:rsidRDefault="00775EE9" w:rsidP="00F614B5">
      <w:pPr>
        <w:spacing w:before="120"/>
        <w:ind w:firstLine="0"/>
        <w:jc w:val="center"/>
        <w:rPr>
          <w:i/>
        </w:rPr>
      </w:pPr>
      <w:r>
        <w:rPr>
          <w:i/>
        </w:rPr>
        <w:t xml:space="preserve">DE - Obr. 14. – Komunikace, Zdroj </w:t>
      </w:r>
      <w:r w:rsidRPr="006141B5">
        <w:rPr>
          <w:i/>
        </w:rPr>
        <w:t>[DE</w:t>
      </w:r>
      <w:r>
        <w:rPr>
          <w:i/>
        </w:rPr>
        <w:t>2</w:t>
      </w:r>
      <w:r w:rsidR="008A6E0C">
        <w:rPr>
          <w:i/>
        </w:rPr>
        <w:t>5</w:t>
      </w:r>
      <w:r w:rsidRPr="006141B5">
        <w:rPr>
          <w:i/>
        </w:rPr>
        <w:t>]</w:t>
      </w:r>
    </w:p>
    <w:p w:rsidR="00A634FE" w:rsidRDefault="00A634FE" w:rsidP="00F425B8">
      <w:pPr>
        <w:spacing w:before="120" w:after="0"/>
      </w:pPr>
      <w:r>
        <w:t>Nyní se budeme zabývat otázkou možné nehody vozu přepravujícího nebezpečn</w:t>
      </w:r>
      <w:r w:rsidR="00D3149E">
        <w:t>é</w:t>
      </w:r>
      <w:r>
        <w:t xml:space="preserve"> </w:t>
      </w:r>
      <w:r w:rsidR="00D3149E">
        <w:t>věci</w:t>
      </w:r>
      <w:r>
        <w:t>. Nehodou může být i vyko</w:t>
      </w:r>
      <w:r w:rsidR="00D3149E">
        <w:t>lejení daného vozu</w:t>
      </w:r>
      <w:r>
        <w:t xml:space="preserve">, či některého jiného ze soupravy, kde se vůz s nebezpečným materiálem nachází. </w:t>
      </w:r>
    </w:p>
    <w:p w:rsidR="00805A67" w:rsidRDefault="00A634FE" w:rsidP="00F425B8">
      <w:pPr>
        <w:spacing w:before="120" w:after="0"/>
      </w:pPr>
      <w:r>
        <w:t xml:space="preserve">Od navrhovaného systému se požaduje, aby </w:t>
      </w:r>
      <w:r w:rsidR="00805A67">
        <w:t>zaznamenáva</w:t>
      </w:r>
      <w:r>
        <w:t>l</w:t>
      </w:r>
      <w:r w:rsidR="00805A67">
        <w:t>, shromažďova</w:t>
      </w:r>
      <w:r>
        <w:t>l a oznamoval chybové hlášky a reagoval</w:t>
      </w:r>
      <w:r w:rsidR="00805A67">
        <w:t xml:space="preserve"> na ně</w:t>
      </w:r>
      <w:r>
        <w:t xml:space="preserve"> v přiměřeném čase.</w:t>
      </w:r>
      <w:r w:rsidR="00805A67">
        <w:t xml:space="preserve"> Pro tyto účely existují dvě strategie pro varování. První koncept spočívá v jednoduchém řešení a nevyžaduje komplexní komunikační systém. Je zobrazen na následujícím obrázku</w:t>
      </w:r>
      <w:r>
        <w:t xml:space="preserve"> </w:t>
      </w:r>
      <w:r w:rsidRPr="00D558F7">
        <w:rPr>
          <w:i/>
        </w:rPr>
        <w:t>DE – Obr. 1</w:t>
      </w:r>
      <w:r>
        <w:rPr>
          <w:i/>
        </w:rPr>
        <w:t>5</w:t>
      </w:r>
      <w:r w:rsidRPr="00D558F7">
        <w:rPr>
          <w:i/>
        </w:rPr>
        <w:t>. – Komunikace v případě nehody</w:t>
      </w:r>
      <w:r w:rsidR="00805A67">
        <w:t xml:space="preserve">. </w:t>
      </w:r>
    </w:p>
    <w:p w:rsidR="00805A67" w:rsidRDefault="00805A67" w:rsidP="00D558F7">
      <w:pPr>
        <w:spacing w:after="0"/>
        <w:ind w:firstLine="0"/>
        <w:jc w:val="center"/>
      </w:pPr>
      <w:r w:rsidRPr="005C53B1">
        <w:rPr>
          <w:noProof/>
        </w:rPr>
        <w:drawing>
          <wp:inline distT="0" distB="0" distL="0" distR="0">
            <wp:extent cx="4352925" cy="2844199"/>
            <wp:effectExtent l="19050" t="0" r="0" b="0"/>
            <wp:docPr id="30" name="obrázek 4" descr="Současný stav alar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učasný stav alarmu"/>
                    <pic:cNvPicPr>
                      <a:picLocks noChangeAspect="1" noChangeArrowheads="1"/>
                    </pic:cNvPicPr>
                  </pic:nvPicPr>
                  <pic:blipFill>
                    <a:blip r:embed="rId47" cstate="print"/>
                    <a:stretch>
                      <a:fillRect/>
                    </a:stretch>
                  </pic:blipFill>
                  <pic:spPr bwMode="auto">
                    <a:xfrm>
                      <a:off x="0" y="0"/>
                      <a:ext cx="4351926" cy="2843547"/>
                    </a:xfrm>
                    <a:prstGeom prst="rect">
                      <a:avLst/>
                    </a:prstGeom>
                    <a:noFill/>
                    <a:ln w="9525">
                      <a:noFill/>
                      <a:miter lim="800000"/>
                      <a:headEnd/>
                      <a:tailEnd/>
                    </a:ln>
                  </pic:spPr>
                </pic:pic>
              </a:graphicData>
            </a:graphic>
          </wp:inline>
        </w:drawing>
      </w:r>
    </w:p>
    <w:p w:rsidR="00D558F7" w:rsidRPr="00D558F7" w:rsidRDefault="00D558F7" w:rsidP="00D558F7">
      <w:pPr>
        <w:spacing w:before="120"/>
        <w:ind w:firstLine="0"/>
        <w:jc w:val="center"/>
        <w:rPr>
          <w:i/>
        </w:rPr>
      </w:pPr>
      <w:r w:rsidRPr="00D558F7">
        <w:rPr>
          <w:i/>
        </w:rPr>
        <w:t>DE – Obr. 1</w:t>
      </w:r>
      <w:r w:rsidR="00162336">
        <w:rPr>
          <w:i/>
        </w:rPr>
        <w:t>5</w:t>
      </w:r>
      <w:r w:rsidRPr="00D558F7">
        <w:rPr>
          <w:i/>
        </w:rPr>
        <w:t>. – Komunikace v případě nehody</w:t>
      </w:r>
      <w:r w:rsidR="008A6E0C">
        <w:rPr>
          <w:i/>
        </w:rPr>
        <w:t xml:space="preserve">, Zdroj </w:t>
      </w:r>
      <w:r w:rsidR="008A6E0C" w:rsidRPr="006141B5">
        <w:rPr>
          <w:i/>
        </w:rPr>
        <w:t>[DE</w:t>
      </w:r>
      <w:r w:rsidR="008A6E0C">
        <w:rPr>
          <w:i/>
        </w:rPr>
        <w:t>24</w:t>
      </w:r>
      <w:r w:rsidR="008A6E0C" w:rsidRPr="006141B5">
        <w:rPr>
          <w:i/>
        </w:rPr>
        <w:t>]</w:t>
      </w:r>
    </w:p>
    <w:p w:rsidR="00805A67" w:rsidRDefault="00805A67" w:rsidP="00805A67">
      <w:pPr>
        <w:spacing w:after="0"/>
        <w:ind w:firstLine="284"/>
      </w:pPr>
      <w:r>
        <w:t xml:space="preserve">Jedná se o jednoduchý způsob komunikace nákladních vozů s telematickými systémy v Evropě. </w:t>
      </w:r>
      <w:r w:rsidRPr="00F77CF1">
        <w:t>Systém nevyža</w:t>
      </w:r>
      <w:r w:rsidR="0000065D">
        <w:t>duje komunikační infrastrukturu, tedy nejsou nutné žádné další investice, stačí jen proškolit personál.</w:t>
      </w:r>
      <w:r w:rsidRPr="00F77CF1">
        <w:t xml:space="preserve"> Mezi nevýhody patří fakt, že nejsou k dispozici žádné informace o povaze mimořádné události. </w:t>
      </w:r>
    </w:p>
    <w:p w:rsidR="00805A67" w:rsidRDefault="00805A67" w:rsidP="00D558F7">
      <w:pPr>
        <w:spacing w:before="120" w:after="0"/>
        <w:ind w:firstLine="284"/>
      </w:pPr>
      <w:r>
        <w:lastRenderedPageBreak/>
        <w:t>Vyspělejší systém s výstražnou centrálou již využívá telematických aplikací. V případě nebezpečí vysílá vagon s telematikou signál do centrály. Z příchozí zprávy lze určit potřebné informace, jako je poloha daného vozu, na jaké cestě či na jakém nádraží se nachází a kdo je majitelem daného vozu. Centrála tak může kontaktovat majitele vozu či nákladu a získat od něho upřesňující informace o daném nákladu</w:t>
      </w:r>
      <w:r w:rsidR="00BA0C88">
        <w:t xml:space="preserve"> a jeho možném nebezpečí pro zasahující záchranné složky či životní prostředí</w:t>
      </w:r>
      <w:r>
        <w:t xml:space="preserve">. </w:t>
      </w:r>
    </w:p>
    <w:p w:rsidR="00805A67" w:rsidRDefault="00805A67" w:rsidP="00805A67">
      <w:pPr>
        <w:spacing w:after="0"/>
      </w:pPr>
      <w:r>
        <w:rPr>
          <w:noProof/>
        </w:rPr>
        <w:drawing>
          <wp:inline distT="0" distB="0" distL="0" distR="0">
            <wp:extent cx="4961693" cy="3676650"/>
            <wp:effectExtent l="19050" t="0" r="0" b="0"/>
            <wp:docPr id="31" name="Obrázek 9" descr="telematika_centrá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matika_centrála.jpg"/>
                    <pic:cNvPicPr/>
                  </pic:nvPicPr>
                  <pic:blipFill>
                    <a:blip r:embed="rId48" cstate="print"/>
                    <a:stretch>
                      <a:fillRect/>
                    </a:stretch>
                  </pic:blipFill>
                  <pic:spPr>
                    <a:xfrm>
                      <a:off x="0" y="0"/>
                      <a:ext cx="4961693" cy="3676650"/>
                    </a:xfrm>
                    <a:prstGeom prst="rect">
                      <a:avLst/>
                    </a:prstGeom>
                  </pic:spPr>
                </pic:pic>
              </a:graphicData>
            </a:graphic>
          </wp:inline>
        </w:drawing>
      </w:r>
    </w:p>
    <w:p w:rsidR="00D558F7" w:rsidRPr="00162336" w:rsidRDefault="00D558F7" w:rsidP="00162336">
      <w:pPr>
        <w:spacing w:before="120"/>
        <w:ind w:firstLine="0"/>
        <w:jc w:val="center"/>
        <w:rPr>
          <w:i/>
        </w:rPr>
      </w:pPr>
      <w:r w:rsidRPr="00162336">
        <w:rPr>
          <w:i/>
        </w:rPr>
        <w:t xml:space="preserve">DE – Obr. </w:t>
      </w:r>
      <w:r w:rsidR="00162336" w:rsidRPr="00162336">
        <w:rPr>
          <w:i/>
        </w:rPr>
        <w:t>16. – Komunikace s využitím TUIS</w:t>
      </w:r>
      <w:r w:rsidR="00775EE9">
        <w:rPr>
          <w:i/>
        </w:rPr>
        <w:t xml:space="preserve">, Zdroj </w:t>
      </w:r>
      <w:r w:rsidR="00775EE9" w:rsidRPr="006141B5">
        <w:rPr>
          <w:i/>
        </w:rPr>
        <w:t>[DE</w:t>
      </w:r>
      <w:r w:rsidR="00775EE9">
        <w:rPr>
          <w:i/>
        </w:rPr>
        <w:t>25</w:t>
      </w:r>
      <w:r w:rsidR="00775EE9" w:rsidRPr="006141B5">
        <w:rPr>
          <w:i/>
        </w:rPr>
        <w:t>]</w:t>
      </w:r>
    </w:p>
    <w:p w:rsidR="00162336" w:rsidRDefault="00162336" w:rsidP="00162336">
      <w:pPr>
        <w:tabs>
          <w:tab w:val="left" w:pos="1134"/>
        </w:tabs>
        <w:spacing w:after="0"/>
        <w:ind w:firstLine="284"/>
      </w:pPr>
      <w:r>
        <w:t>Soubor:</w:t>
      </w:r>
      <w:r w:rsidRPr="00162336">
        <w:t xml:space="preserve"> </w:t>
      </w:r>
      <w:r>
        <w:tab/>
      </w:r>
      <w:r w:rsidRPr="00162336">
        <w:t>DE_</w:t>
      </w:r>
      <w:r w:rsidR="00B57762">
        <w:t>24</w:t>
      </w:r>
      <w:r w:rsidRPr="00162336">
        <w:t>_veroeffentlichung_etr.pdf</w:t>
      </w:r>
    </w:p>
    <w:p w:rsidR="00162336" w:rsidRDefault="00162336" w:rsidP="00162336">
      <w:pPr>
        <w:tabs>
          <w:tab w:val="left" w:pos="1134"/>
        </w:tabs>
        <w:spacing w:after="0"/>
        <w:ind w:firstLine="0"/>
      </w:pPr>
      <w:r>
        <w:tab/>
        <w:t>DE_2</w:t>
      </w:r>
      <w:r w:rsidR="00B57762">
        <w:t>5</w:t>
      </w:r>
      <w:r w:rsidRPr="00162336">
        <w:t>_rieckenberg_thomas.pdf</w:t>
      </w:r>
    </w:p>
    <w:p w:rsidR="00162336" w:rsidRDefault="00162336" w:rsidP="00162336">
      <w:pPr>
        <w:tabs>
          <w:tab w:val="left" w:pos="1134"/>
        </w:tabs>
        <w:spacing w:after="0"/>
        <w:ind w:firstLine="0"/>
      </w:pPr>
      <w:r>
        <w:tab/>
      </w:r>
      <w:r w:rsidRPr="00162336">
        <w:t>DE_2</w:t>
      </w:r>
      <w:r w:rsidR="00B57762">
        <w:t>6</w:t>
      </w:r>
      <w:r w:rsidRPr="00162336">
        <w:t>_veroeffentlichung_gl.pdf</w:t>
      </w:r>
    </w:p>
    <w:p w:rsidR="00805A67" w:rsidRPr="00FE713E" w:rsidRDefault="00805A67" w:rsidP="00805A67">
      <w:pPr>
        <w:pStyle w:val="Nadpis4"/>
        <w:rPr>
          <w:rFonts w:ascii="Times New Roman" w:eastAsiaTheme="majorEastAsia" w:hAnsi="Times New Roman"/>
          <w:szCs w:val="26"/>
        </w:rPr>
      </w:pPr>
      <w:bookmarkStart w:id="12" w:name="_Toc326741493"/>
      <w:r w:rsidRPr="00FE713E">
        <w:rPr>
          <w:rFonts w:ascii="Times New Roman" w:eastAsiaTheme="majorEastAsia" w:hAnsi="Times New Roman"/>
          <w:szCs w:val="26"/>
        </w:rPr>
        <w:t>Silniční přeprava</w:t>
      </w:r>
      <w:bookmarkEnd w:id="12"/>
    </w:p>
    <w:p w:rsidR="00805A67" w:rsidRPr="00183474" w:rsidRDefault="00805A67" w:rsidP="00E01488">
      <w:pPr>
        <w:spacing w:before="120" w:after="0"/>
        <w:ind w:firstLine="284"/>
        <w:rPr>
          <w:rFonts w:eastAsiaTheme="majorEastAsia"/>
        </w:rPr>
      </w:pPr>
      <w:r w:rsidRPr="00183474">
        <w:rPr>
          <w:rFonts w:eastAsiaTheme="majorEastAsia"/>
        </w:rPr>
        <w:t>Při přepravě nebezpečných věcí po silnici platí zákony a předpisy</w:t>
      </w:r>
      <w:r w:rsidR="00065334">
        <w:rPr>
          <w:rFonts w:eastAsiaTheme="majorEastAsia"/>
        </w:rPr>
        <w:t xml:space="preserve"> uvedené v kapitole 2.1. Legislativní rámec</w:t>
      </w:r>
      <w:r w:rsidRPr="00183474">
        <w:rPr>
          <w:rFonts w:eastAsiaTheme="majorEastAsia"/>
        </w:rPr>
        <w:t xml:space="preserve">. Platí ale také určitá omezení ve využívání dopravní cesty. Jak již bylo uvedeno, v přepravních dokumentech je jednou z důležitých informací kategorie tunelu, který se nachází na zvolené trase. Dle mezinárodního předpisu ADR došlo k úpravám v omezení vjezdu do tunelů při přepravě nebezpečných věcí. Jednotlivé tunely jsou označeny písmeny A-E, kde A je bez omezení vjezdu, tj. omezené tunely se vyznačují písmeny B-E. Aktuální seznam dotčených tunelů je uveden na webových stránkách Spolkového ministerstva dopravy, výstavy a bydlení. Tam je také jejich kategorizace a časový popis omezení. </w:t>
      </w:r>
    </w:p>
    <w:p w:rsidR="00805A67" w:rsidRDefault="00805A67" w:rsidP="00162336">
      <w:pPr>
        <w:spacing w:before="120" w:after="0"/>
        <w:ind w:firstLine="284"/>
      </w:pPr>
      <w:r w:rsidRPr="00183474">
        <w:t xml:space="preserve">Zdroj: </w:t>
      </w:r>
      <w:hyperlink r:id="rId49" w:history="1">
        <w:r w:rsidRPr="00183474">
          <w:rPr>
            <w:rStyle w:val="Hypertextovodkaz"/>
          </w:rPr>
          <w:t>http://www.bmvbs.de/SharedDocs/DE/Artikel/UI/Gefahrgut/beschraenkung-der-nutzung-von-strassentunneln-gemaess-adr.html</w:t>
        </w:r>
      </w:hyperlink>
    </w:p>
    <w:p w:rsidR="00162336" w:rsidRPr="00183474" w:rsidRDefault="00162336" w:rsidP="00805A67">
      <w:pPr>
        <w:spacing w:after="0"/>
        <w:ind w:firstLine="284"/>
      </w:pPr>
      <w:r>
        <w:t xml:space="preserve">Soubor: </w:t>
      </w:r>
      <w:r w:rsidRPr="00162336">
        <w:t>DE_2</w:t>
      </w:r>
      <w:r w:rsidR="00B57762">
        <w:t>7</w:t>
      </w:r>
      <w:r w:rsidRPr="00162336">
        <w:t>_ BMVBS - Gefahrgut-Beschränkung</w:t>
      </w:r>
      <w:r>
        <w:t>.pdf</w:t>
      </w:r>
    </w:p>
    <w:p w:rsidR="00E42339" w:rsidRDefault="00805A67" w:rsidP="00AA493B">
      <w:pPr>
        <w:spacing w:before="120" w:after="0"/>
        <w:ind w:firstLine="284"/>
        <w:rPr>
          <w:rFonts w:eastAsiaTheme="majorEastAsia"/>
        </w:rPr>
      </w:pPr>
      <w:r w:rsidRPr="00183474">
        <w:rPr>
          <w:rFonts w:eastAsiaTheme="majorEastAsia"/>
        </w:rPr>
        <w:t>K dalším zásadám přepravy nebezpečných věcí patří výběr dané trasy. Jedná se o obecné zásady stanovení trasy. Příslušným orgánem v oblasti plánování cest je Ministerstvo pro místní rozvoj a dopravu. Trasování a jeho zásady dle tohoto opatření se vz</w:t>
      </w:r>
      <w:r>
        <w:rPr>
          <w:rFonts w:eastAsiaTheme="majorEastAsia"/>
        </w:rPr>
        <w:t>tahují na přepravu v cisternách</w:t>
      </w:r>
      <w:r w:rsidRPr="00183474">
        <w:rPr>
          <w:rFonts w:eastAsiaTheme="majorEastAsia"/>
        </w:rPr>
        <w:t xml:space="preserve"> a to nebezpečných věcí třídy 2 (hořlavých plynů) a třídy 3 (hořlavé kapaliny).</w:t>
      </w:r>
    </w:p>
    <w:p w:rsidR="00805A67" w:rsidRPr="00183474" w:rsidRDefault="00805A67" w:rsidP="00AA493B">
      <w:pPr>
        <w:spacing w:before="120" w:after="0"/>
        <w:ind w:firstLine="284"/>
        <w:rPr>
          <w:rFonts w:eastAsiaTheme="majorEastAsia"/>
        </w:rPr>
      </w:pPr>
      <w:r w:rsidRPr="00183474">
        <w:rPr>
          <w:rFonts w:eastAsiaTheme="majorEastAsia"/>
        </w:rPr>
        <w:lastRenderedPageBreak/>
        <w:t>Silnice jsou rozděleny do dvou kategorií a to na tzv. „pozitivní síť“, to jsou silnice, kterých by mělo být přednostně využíváno při transportu a „negativní síť“, což jsou silnice</w:t>
      </w:r>
      <w:r w:rsidRPr="00E42339">
        <w:rPr>
          <w:rFonts w:eastAsiaTheme="majorEastAsia"/>
        </w:rPr>
        <w:t xml:space="preserve">, </w:t>
      </w:r>
      <w:r w:rsidRPr="00183474">
        <w:rPr>
          <w:rFonts w:eastAsiaTheme="majorEastAsia"/>
        </w:rPr>
        <w:t>na k</w:t>
      </w:r>
      <w:r>
        <w:rPr>
          <w:rFonts w:eastAsiaTheme="majorEastAsia"/>
        </w:rPr>
        <w:t>teré mají vozidla s nebezpečný</w:t>
      </w:r>
      <w:r w:rsidRPr="00BA711D">
        <w:rPr>
          <w:rFonts w:eastAsiaTheme="majorEastAsia"/>
        </w:rPr>
        <w:t>m</w:t>
      </w:r>
      <w:r w:rsidRPr="00183474">
        <w:rPr>
          <w:rFonts w:eastAsiaTheme="majorEastAsia"/>
        </w:rPr>
        <w:t xml:space="preserve"> nákladem vjezd zakázán. Do kladné sítě patří silnice dálničního typu (více pruhů v každém směru) na celém území. Mimo zastavěná území jsou v této kategorii zahrnuty federální dálnice, federální rychlostní silnice, okresní silnice a místní silnice, které jsou tzv. prioritní a nejsou obsaženy v negativní síti. Negativní síť se skládá ze silnic, které jsou označeny značkou 261 nebo 269 (zákaz vjezdu vozidel přepravujícím nebezpečný náklad a zákaz vjezdu vozidel přepravujícím náklad, který může znečistit vodu) dle zákona o silničním provozu. </w:t>
      </w:r>
    </w:p>
    <w:p w:rsidR="00805A67" w:rsidRDefault="00805A67" w:rsidP="00805A67">
      <w:pPr>
        <w:spacing w:after="0"/>
        <w:ind w:firstLine="357"/>
      </w:pPr>
      <w:r>
        <w:rPr>
          <w:noProof/>
        </w:rPr>
        <w:drawing>
          <wp:anchor distT="0" distB="0" distL="114300" distR="114300" simplePos="0" relativeHeight="251665408" behindDoc="0" locked="0" layoutInCell="1" allowOverlap="1">
            <wp:simplePos x="0" y="0"/>
            <wp:positionH relativeFrom="column">
              <wp:posOffset>3024505</wp:posOffset>
            </wp:positionH>
            <wp:positionV relativeFrom="paragraph">
              <wp:posOffset>171450</wp:posOffset>
            </wp:positionV>
            <wp:extent cx="1866900" cy="1866900"/>
            <wp:effectExtent l="19050" t="0" r="0" b="0"/>
            <wp:wrapSquare wrapText="bothSides"/>
            <wp:docPr id="32" name="Obrázek 4" descr="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9.jpg"/>
                    <pic:cNvPicPr/>
                  </pic:nvPicPr>
                  <pic:blipFill>
                    <a:blip r:embed="rId50" cstate="print"/>
                    <a:stretch>
                      <a:fillRect/>
                    </a:stretch>
                  </pic:blipFill>
                  <pic:spPr>
                    <a:xfrm>
                      <a:off x="0" y="0"/>
                      <a:ext cx="1866900" cy="1866900"/>
                    </a:xfrm>
                    <a:prstGeom prst="rect">
                      <a:avLst/>
                    </a:prstGeom>
                  </pic:spPr>
                </pic:pic>
              </a:graphicData>
            </a:graphic>
          </wp:anchor>
        </w:drawing>
      </w:r>
    </w:p>
    <w:p w:rsidR="00805A67" w:rsidRDefault="00805A67" w:rsidP="00805A67">
      <w:pPr>
        <w:spacing w:after="0"/>
        <w:ind w:firstLine="357"/>
      </w:pPr>
      <w:r>
        <w:rPr>
          <w:noProof/>
        </w:rPr>
        <w:drawing>
          <wp:anchor distT="0" distB="0" distL="114300" distR="114300" simplePos="0" relativeHeight="251664384" behindDoc="0" locked="0" layoutInCell="1" allowOverlap="1">
            <wp:simplePos x="0" y="0"/>
            <wp:positionH relativeFrom="column">
              <wp:posOffset>386080</wp:posOffset>
            </wp:positionH>
            <wp:positionV relativeFrom="paragraph">
              <wp:posOffset>34290</wp:posOffset>
            </wp:positionV>
            <wp:extent cx="1885950" cy="1885950"/>
            <wp:effectExtent l="19050" t="0" r="0" b="0"/>
            <wp:wrapSquare wrapText="bothSides"/>
            <wp:docPr id="33" name="Obrázek 3" descr="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jpg"/>
                    <pic:cNvPicPr/>
                  </pic:nvPicPr>
                  <pic:blipFill>
                    <a:blip r:embed="rId51" cstate="print"/>
                    <a:stretch>
                      <a:fillRect/>
                    </a:stretch>
                  </pic:blipFill>
                  <pic:spPr>
                    <a:xfrm>
                      <a:off x="0" y="0"/>
                      <a:ext cx="1885950" cy="1885950"/>
                    </a:xfrm>
                    <a:prstGeom prst="rect">
                      <a:avLst/>
                    </a:prstGeom>
                  </pic:spPr>
                </pic:pic>
              </a:graphicData>
            </a:graphic>
          </wp:anchor>
        </w:drawing>
      </w: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805A67" w:rsidRDefault="00805A67" w:rsidP="00805A67">
      <w:pPr>
        <w:spacing w:after="0"/>
        <w:ind w:firstLine="357"/>
      </w:pPr>
    </w:p>
    <w:p w:rsidR="00CB4213" w:rsidRDefault="00CB4213" w:rsidP="00805A67">
      <w:pPr>
        <w:spacing w:after="0"/>
        <w:ind w:firstLine="357"/>
        <w:sectPr w:rsidR="00CB4213" w:rsidSect="00ED36B9">
          <w:type w:val="continuous"/>
          <w:pgSz w:w="11906" w:h="16838"/>
          <w:pgMar w:top="1417" w:right="1417" w:bottom="1417" w:left="1417" w:header="708" w:footer="708" w:gutter="0"/>
          <w:cols w:space="708"/>
          <w:docGrid w:linePitch="360"/>
        </w:sectPr>
      </w:pPr>
    </w:p>
    <w:p w:rsidR="00A95158" w:rsidRDefault="00CB4213" w:rsidP="00CB4213">
      <w:pPr>
        <w:spacing w:after="0"/>
        <w:ind w:firstLine="357"/>
        <w:jc w:val="center"/>
        <w:rPr>
          <w:i/>
        </w:rPr>
      </w:pPr>
      <w:r w:rsidRPr="00CB4213">
        <w:rPr>
          <w:i/>
        </w:rPr>
        <w:lastRenderedPageBreak/>
        <w:t>DE – Obr. 17. – Zna</w:t>
      </w:r>
      <w:r>
        <w:rPr>
          <w:i/>
        </w:rPr>
        <w:t>čka</w:t>
      </w:r>
      <w:r w:rsidRPr="00CB4213">
        <w:rPr>
          <w:i/>
        </w:rPr>
        <w:t xml:space="preserve"> 261</w:t>
      </w:r>
      <w:r w:rsidR="009B31E6">
        <w:rPr>
          <w:i/>
        </w:rPr>
        <w:t>,</w:t>
      </w:r>
    </w:p>
    <w:p w:rsidR="009B31E6" w:rsidRPr="00CB4213" w:rsidRDefault="009B31E6" w:rsidP="00CB4213">
      <w:pPr>
        <w:spacing w:after="0"/>
        <w:ind w:firstLine="357"/>
        <w:jc w:val="center"/>
        <w:rPr>
          <w:i/>
        </w:rPr>
      </w:pPr>
      <w:r>
        <w:rPr>
          <w:i/>
        </w:rPr>
        <w:t xml:space="preserve">Zdroj </w:t>
      </w:r>
      <w:r w:rsidRPr="006141B5">
        <w:rPr>
          <w:i/>
        </w:rPr>
        <w:t>[DE</w:t>
      </w:r>
      <w:r>
        <w:rPr>
          <w:i/>
        </w:rPr>
        <w:t>28</w:t>
      </w:r>
      <w:r w:rsidRPr="006141B5">
        <w:rPr>
          <w:i/>
        </w:rPr>
        <w:t>]</w:t>
      </w:r>
    </w:p>
    <w:p w:rsidR="00CB4213" w:rsidRDefault="00CB4213" w:rsidP="00CB4213">
      <w:pPr>
        <w:spacing w:after="0"/>
        <w:ind w:left="-426" w:hanging="1417"/>
        <w:jc w:val="center"/>
        <w:rPr>
          <w:i/>
        </w:rPr>
      </w:pPr>
      <w:r w:rsidRPr="00CB4213">
        <w:rPr>
          <w:i/>
        </w:rPr>
        <w:lastRenderedPageBreak/>
        <w:t>DE – Obr. 18. –</w:t>
      </w:r>
      <w:r>
        <w:rPr>
          <w:i/>
        </w:rPr>
        <w:t xml:space="preserve"> Značka</w:t>
      </w:r>
      <w:r w:rsidRPr="00CB4213">
        <w:rPr>
          <w:i/>
        </w:rPr>
        <w:t xml:space="preserve"> 269</w:t>
      </w:r>
      <w:r w:rsidR="009B31E6">
        <w:rPr>
          <w:i/>
        </w:rPr>
        <w:t>,</w:t>
      </w:r>
    </w:p>
    <w:p w:rsidR="009B31E6" w:rsidRPr="00CB4213" w:rsidRDefault="009B31E6" w:rsidP="00CB4213">
      <w:pPr>
        <w:spacing w:after="0"/>
        <w:ind w:left="-426" w:hanging="1417"/>
        <w:jc w:val="center"/>
        <w:rPr>
          <w:i/>
        </w:rPr>
      </w:pPr>
      <w:r>
        <w:rPr>
          <w:i/>
        </w:rPr>
        <w:t xml:space="preserve">Zdroj </w:t>
      </w:r>
      <w:r w:rsidRPr="006141B5">
        <w:rPr>
          <w:i/>
        </w:rPr>
        <w:t>[DE</w:t>
      </w:r>
      <w:r>
        <w:rPr>
          <w:i/>
        </w:rPr>
        <w:t>28</w:t>
      </w:r>
      <w:r w:rsidRPr="006141B5">
        <w:rPr>
          <w:i/>
        </w:rPr>
        <w:t>]</w:t>
      </w:r>
    </w:p>
    <w:p w:rsidR="00CB4213" w:rsidRDefault="00CB4213" w:rsidP="00805A67">
      <w:pPr>
        <w:spacing w:after="0"/>
        <w:ind w:firstLine="357"/>
        <w:sectPr w:rsidR="00CB4213" w:rsidSect="00CB4213">
          <w:type w:val="continuous"/>
          <w:pgSz w:w="11906" w:h="16838"/>
          <w:pgMar w:top="1417" w:right="1417" w:bottom="1417" w:left="1417" w:header="708" w:footer="708" w:gutter="0"/>
          <w:cols w:num="2" w:space="1416"/>
          <w:docGrid w:linePitch="360"/>
        </w:sectPr>
      </w:pPr>
    </w:p>
    <w:p w:rsidR="00A95158" w:rsidRPr="00183474" w:rsidRDefault="00A95158" w:rsidP="00A95158">
      <w:pPr>
        <w:spacing w:before="120" w:after="0"/>
        <w:ind w:firstLine="284"/>
        <w:rPr>
          <w:rFonts w:eastAsiaTheme="majorEastAsia"/>
        </w:rPr>
      </w:pPr>
      <w:r w:rsidRPr="00183474">
        <w:rPr>
          <w:rFonts w:eastAsiaTheme="majorEastAsia"/>
        </w:rPr>
        <w:lastRenderedPageBreak/>
        <w:t xml:space="preserve">Z hlediska použití vybraných silnic je nutné řídit se těmito skupinami. V souladu se zákonem o přepravě nebezpečných věcí (GGVSEB) je povinné využívání dálnic. Mimo zastavěná území je povinností použít silnice z pozitivní sítě a zásadou je použít nejkratší možnou cestu. Pokud se jedná o město, které disponuje obchvatem a daným městem se pouze projíždí, mělo být využito tohoto obchvatu. </w:t>
      </w:r>
    </w:p>
    <w:p w:rsidR="00A95158" w:rsidRPr="00310ABF" w:rsidRDefault="00310ABF" w:rsidP="00A95158">
      <w:pPr>
        <w:spacing w:before="120" w:after="0"/>
        <w:ind w:firstLine="284"/>
      </w:pPr>
      <w:r w:rsidRPr="00310ABF">
        <w:t>S</w:t>
      </w:r>
      <w:r w:rsidR="00A95158" w:rsidRPr="00310ABF">
        <w:t xml:space="preserve">oubor: </w:t>
      </w:r>
      <w:r w:rsidRPr="00310ABF">
        <w:t>DE_2</w:t>
      </w:r>
      <w:r w:rsidR="00B57762">
        <w:t>9</w:t>
      </w:r>
      <w:r w:rsidRPr="00310ABF">
        <w:t>_Allgemeinverfügung_MBl.pdf</w:t>
      </w:r>
    </w:p>
    <w:p w:rsidR="00E42339" w:rsidRDefault="00805A67" w:rsidP="00FF1794">
      <w:pPr>
        <w:spacing w:before="120" w:after="0"/>
        <w:ind w:firstLine="284"/>
        <w:rPr>
          <w:rFonts w:eastAsiaTheme="majorEastAsia"/>
        </w:rPr>
      </w:pPr>
      <w:r w:rsidRPr="00183474">
        <w:rPr>
          <w:rFonts w:eastAsiaTheme="majorEastAsia"/>
        </w:rPr>
        <w:t xml:space="preserve">Na rozdíl od železniční přepravy, kde je pozornost věnována </w:t>
      </w:r>
      <w:r w:rsidR="00E42339">
        <w:rPr>
          <w:rFonts w:eastAsiaTheme="majorEastAsia"/>
        </w:rPr>
        <w:t>především uvedenému</w:t>
      </w:r>
      <w:r w:rsidRPr="00183474">
        <w:rPr>
          <w:rFonts w:eastAsiaTheme="majorEastAsia"/>
        </w:rPr>
        <w:t xml:space="preserve"> systému sledování</w:t>
      </w:r>
      <w:r w:rsidR="00E42339">
        <w:rPr>
          <w:rFonts w:eastAsiaTheme="majorEastAsia"/>
        </w:rPr>
        <w:t xml:space="preserve"> jak pomocí GSM-R, tak pomocí senzorů a rozhraní po komunikaci mezi vozem a lokomotivou</w:t>
      </w:r>
      <w:r w:rsidRPr="00183474">
        <w:rPr>
          <w:rFonts w:eastAsiaTheme="majorEastAsia"/>
        </w:rPr>
        <w:t xml:space="preserve">, </w:t>
      </w:r>
      <w:r>
        <w:rPr>
          <w:rFonts w:eastAsiaTheme="majorEastAsia"/>
        </w:rPr>
        <w:t xml:space="preserve">v případě přepravy nebezpečných nákladů po silnici není zaveden jednotný koncept řešení. Existuje několik </w:t>
      </w:r>
      <w:r w:rsidR="00E42339">
        <w:rPr>
          <w:rFonts w:eastAsiaTheme="majorEastAsia"/>
        </w:rPr>
        <w:t>možných řešení, které se zabývají</w:t>
      </w:r>
      <w:r>
        <w:rPr>
          <w:rFonts w:eastAsiaTheme="majorEastAsia"/>
        </w:rPr>
        <w:t xml:space="preserve"> otázkou této problematiky. Možnosti řešení jsou představovány na různých konferencích a schůzích pracovní skupiny pověřené řešením telematiky (Telematik-Arbeitsgruppe). </w:t>
      </w:r>
    </w:p>
    <w:p w:rsidR="00805A67" w:rsidRPr="00183474" w:rsidRDefault="00805A67" w:rsidP="00FF1794">
      <w:pPr>
        <w:spacing w:before="120" w:after="0"/>
        <w:ind w:firstLine="284"/>
        <w:rPr>
          <w:rFonts w:eastAsiaTheme="majorEastAsia"/>
        </w:rPr>
      </w:pPr>
      <w:r>
        <w:rPr>
          <w:rFonts w:eastAsiaTheme="majorEastAsia"/>
        </w:rPr>
        <w:t>Nejprve budou uvedeny současné systémy pro sledování polohy vozidel s nebezpečným</w:t>
      </w:r>
      <w:r w:rsidR="00BA0C88">
        <w:rPr>
          <w:rFonts w:eastAsiaTheme="majorEastAsia"/>
        </w:rPr>
        <w:t>i</w:t>
      </w:r>
      <w:r>
        <w:rPr>
          <w:rFonts w:eastAsiaTheme="majorEastAsia"/>
        </w:rPr>
        <w:t xml:space="preserve"> </w:t>
      </w:r>
      <w:r w:rsidR="00BA0C88">
        <w:rPr>
          <w:rFonts w:eastAsiaTheme="majorEastAsia"/>
        </w:rPr>
        <w:t>věcmi</w:t>
      </w:r>
      <w:r>
        <w:rPr>
          <w:rFonts w:eastAsiaTheme="majorEastAsia"/>
        </w:rPr>
        <w:t xml:space="preserve"> a poté různá koncepční řešení, která se většinou neomezují jen na daný stát, ale většina z nich řeší problém globálněji, tj. v rá</w:t>
      </w:r>
      <w:r w:rsidR="00E42339">
        <w:rPr>
          <w:rFonts w:eastAsiaTheme="majorEastAsia"/>
        </w:rPr>
        <w:t xml:space="preserve">mci Evropy či sousedních států, což je předmětem další kapitoly. </w:t>
      </w:r>
    </w:p>
    <w:p w:rsidR="00805A67" w:rsidRPr="00F76804" w:rsidRDefault="00805A67" w:rsidP="00FF1794">
      <w:pPr>
        <w:spacing w:before="120" w:after="0"/>
        <w:ind w:firstLine="284"/>
        <w:rPr>
          <w:rFonts w:eastAsiaTheme="majorEastAsia"/>
        </w:rPr>
      </w:pPr>
      <w:r w:rsidRPr="00183474">
        <w:rPr>
          <w:rFonts w:eastAsiaTheme="majorEastAsia"/>
        </w:rPr>
        <w:t>V</w:t>
      </w:r>
      <w:r w:rsidR="00E42339">
        <w:rPr>
          <w:rFonts w:eastAsiaTheme="majorEastAsia"/>
        </w:rPr>
        <w:t> </w:t>
      </w:r>
      <w:r w:rsidRPr="00183474">
        <w:rPr>
          <w:rFonts w:eastAsiaTheme="majorEastAsia"/>
        </w:rPr>
        <w:t>právním systému Německa není povinností sledovat nebezpečný náklad. Legislativa ale umožňuje přepravu nebezpečných věcí soukromým subjektům, kteří ve svém vlastním zájmu vyvíjí různé technologie či využívají některých ze stávajících pro monitorování vozidel s</w:t>
      </w:r>
      <w:r w:rsidR="00BA0C88">
        <w:rPr>
          <w:rFonts w:eastAsiaTheme="majorEastAsia"/>
        </w:rPr>
        <w:t> nebezpečnými věcmi</w:t>
      </w:r>
      <w:r>
        <w:rPr>
          <w:rFonts w:eastAsiaTheme="majorEastAsia"/>
        </w:rPr>
        <w:t>.</w:t>
      </w:r>
    </w:p>
    <w:p w:rsidR="00805A67" w:rsidRDefault="00805A67" w:rsidP="00E42339">
      <w:pPr>
        <w:pStyle w:val="Odstavecseseznamem"/>
        <w:spacing w:before="120"/>
        <w:ind w:left="0" w:firstLine="0"/>
        <w:contextualSpacing w:val="0"/>
        <w:jc w:val="center"/>
        <w:rPr>
          <w:rFonts w:ascii="Times New Roman" w:eastAsiaTheme="majorEastAsia" w:hAnsi="Times New Roman"/>
        </w:rPr>
      </w:pPr>
      <w:r>
        <w:rPr>
          <w:rFonts w:ascii="Times New Roman" w:eastAsiaTheme="majorEastAsia" w:hAnsi="Times New Roman"/>
          <w:noProof/>
        </w:rPr>
        <w:lastRenderedPageBreak/>
        <w:drawing>
          <wp:inline distT="0" distB="0" distL="0" distR="0">
            <wp:extent cx="5426463" cy="3590925"/>
            <wp:effectExtent l="19050" t="0" r="2787" b="0"/>
            <wp:docPr id="34" name="Obrázek 0" descr="rf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id.jpg"/>
                    <pic:cNvPicPr/>
                  </pic:nvPicPr>
                  <pic:blipFill>
                    <a:blip r:embed="rId52" cstate="print"/>
                    <a:stretch>
                      <a:fillRect/>
                    </a:stretch>
                  </pic:blipFill>
                  <pic:spPr>
                    <a:xfrm>
                      <a:off x="0" y="0"/>
                      <a:ext cx="5426463" cy="3590925"/>
                    </a:xfrm>
                    <a:prstGeom prst="rect">
                      <a:avLst/>
                    </a:prstGeom>
                  </pic:spPr>
                </pic:pic>
              </a:graphicData>
            </a:graphic>
          </wp:inline>
        </w:drawing>
      </w:r>
    </w:p>
    <w:p w:rsidR="00805A67" w:rsidRPr="00E42339" w:rsidRDefault="00E42339" w:rsidP="00E42339">
      <w:pPr>
        <w:pStyle w:val="Odstavecseseznamem"/>
        <w:spacing w:before="120" w:after="120"/>
        <w:ind w:left="0" w:firstLine="0"/>
        <w:contextualSpacing w:val="0"/>
        <w:jc w:val="center"/>
        <w:rPr>
          <w:rFonts w:ascii="Times New Roman" w:eastAsiaTheme="majorEastAsia" w:hAnsi="Times New Roman"/>
          <w:i/>
          <w:sz w:val="24"/>
        </w:rPr>
      </w:pPr>
      <w:r w:rsidRPr="00E42339">
        <w:rPr>
          <w:rFonts w:ascii="Times New Roman" w:eastAsiaTheme="majorEastAsia" w:hAnsi="Times New Roman"/>
          <w:i/>
          <w:sz w:val="24"/>
        </w:rPr>
        <w:t>DE - Obr. 19. – Využití RFID</w:t>
      </w:r>
      <w:r w:rsidR="009B31E6">
        <w:rPr>
          <w:rFonts w:ascii="Times New Roman" w:eastAsiaTheme="majorEastAsia" w:hAnsi="Times New Roman"/>
          <w:i/>
          <w:sz w:val="24"/>
        </w:rPr>
        <w:t xml:space="preserve">, </w:t>
      </w:r>
      <w:r w:rsidR="009B31E6" w:rsidRPr="009B31E6">
        <w:rPr>
          <w:rFonts w:ascii="Times New Roman" w:hAnsi="Times New Roman"/>
          <w:i/>
          <w:sz w:val="24"/>
        </w:rPr>
        <w:t>Zdroj [DE</w:t>
      </w:r>
      <w:r w:rsidR="009B31E6">
        <w:rPr>
          <w:rFonts w:ascii="Times New Roman" w:hAnsi="Times New Roman"/>
          <w:i/>
          <w:sz w:val="24"/>
        </w:rPr>
        <w:t>30</w:t>
      </w:r>
      <w:r w:rsidR="009B31E6" w:rsidRPr="009B31E6">
        <w:rPr>
          <w:rFonts w:ascii="Times New Roman" w:hAnsi="Times New Roman"/>
          <w:i/>
          <w:sz w:val="24"/>
        </w:rPr>
        <w:t>]</w:t>
      </w:r>
    </w:p>
    <w:p w:rsidR="00805A67" w:rsidRPr="00AA493B" w:rsidRDefault="00805A67" w:rsidP="00C21FEB">
      <w:pPr>
        <w:pStyle w:val="Odstavecseseznamem"/>
        <w:spacing w:before="120" w:line="240" w:lineRule="auto"/>
        <w:ind w:left="0" w:firstLine="284"/>
        <w:contextualSpacing w:val="0"/>
        <w:jc w:val="both"/>
        <w:rPr>
          <w:rFonts w:ascii="Times New Roman" w:eastAsiaTheme="majorEastAsia" w:hAnsi="Times New Roman"/>
          <w:sz w:val="24"/>
        </w:rPr>
      </w:pPr>
      <w:r w:rsidRPr="00AA493B">
        <w:rPr>
          <w:rFonts w:ascii="Times New Roman" w:eastAsiaTheme="majorEastAsia" w:hAnsi="Times New Roman"/>
          <w:sz w:val="24"/>
        </w:rPr>
        <w:t xml:space="preserve">Jednou z možností, jak sledovat pohyb </w:t>
      </w:r>
      <w:r w:rsidR="00BA0C88">
        <w:rPr>
          <w:rFonts w:ascii="Times New Roman" w:eastAsiaTheme="majorEastAsia" w:hAnsi="Times New Roman"/>
          <w:sz w:val="24"/>
        </w:rPr>
        <w:t>vozidel</w:t>
      </w:r>
      <w:r w:rsidRPr="00AA493B">
        <w:rPr>
          <w:rFonts w:ascii="Times New Roman" w:eastAsiaTheme="majorEastAsia" w:hAnsi="Times New Roman"/>
          <w:sz w:val="24"/>
        </w:rPr>
        <w:t xml:space="preserve"> je opatřit </w:t>
      </w:r>
      <w:r w:rsidR="00BA0C88">
        <w:rPr>
          <w:rFonts w:ascii="Times New Roman" w:eastAsiaTheme="majorEastAsia" w:hAnsi="Times New Roman"/>
          <w:sz w:val="24"/>
        </w:rPr>
        <w:t xml:space="preserve">dané </w:t>
      </w:r>
      <w:r w:rsidRPr="00AA493B">
        <w:rPr>
          <w:rFonts w:ascii="Times New Roman" w:eastAsiaTheme="majorEastAsia" w:hAnsi="Times New Roman"/>
          <w:sz w:val="24"/>
        </w:rPr>
        <w:t xml:space="preserve">zboží technologií RFID. </w:t>
      </w:r>
      <w:r w:rsidR="00E42339">
        <w:rPr>
          <w:rFonts w:ascii="Times New Roman" w:eastAsiaTheme="majorEastAsia" w:hAnsi="Times New Roman"/>
          <w:sz w:val="24"/>
        </w:rPr>
        <w:t xml:space="preserve">Možné řešení </w:t>
      </w:r>
      <w:r w:rsidR="009267E9">
        <w:rPr>
          <w:rFonts w:ascii="Times New Roman" w:eastAsiaTheme="majorEastAsia" w:hAnsi="Times New Roman"/>
          <w:sz w:val="24"/>
        </w:rPr>
        <w:t xml:space="preserve">pro využívání této technologie představil Spolkový úřad pro výzkum materiálů a jejich zkoušení v roce 2011. </w:t>
      </w:r>
      <w:r w:rsidR="00FF1794">
        <w:rPr>
          <w:rFonts w:ascii="Times New Roman" w:eastAsiaTheme="majorEastAsia" w:hAnsi="Times New Roman"/>
          <w:sz w:val="24"/>
        </w:rPr>
        <w:t xml:space="preserve">Podrobnější informace o možnostech využití jsou uvedeny v prezentaci Spolkového úřadu. </w:t>
      </w:r>
    </w:p>
    <w:p w:rsidR="00805A67" w:rsidRDefault="00FF1794" w:rsidP="00C21FEB">
      <w:pPr>
        <w:spacing w:before="120" w:after="0"/>
        <w:ind w:firstLine="284"/>
      </w:pPr>
      <w:r>
        <w:t>Zdroj:</w:t>
      </w:r>
      <w:hyperlink r:id="rId53" w:history="1">
        <w:r w:rsidR="00805A67">
          <w:rPr>
            <w:rStyle w:val="Hypertextovodkaz"/>
          </w:rPr>
          <w:t>http://www.bmvbs.de/cae/servlet/contentblob/68736/publicationFile/40682/transport_logistic_2011_9-intelligente%20ibc%20f%C3%BCr%20eine%20sichere%20und%20wirtschaftliche%20gefahrgutlogistik_pettelkau.pdf</w:t>
        </w:r>
      </w:hyperlink>
    </w:p>
    <w:p w:rsidR="00E42339" w:rsidRDefault="00E42339" w:rsidP="00B97D0A">
      <w:pPr>
        <w:spacing w:after="0"/>
        <w:ind w:firstLine="284"/>
      </w:pPr>
      <w:r>
        <w:t xml:space="preserve">Soubor: </w:t>
      </w:r>
      <w:r w:rsidRPr="00E42339">
        <w:t>DE_</w:t>
      </w:r>
      <w:r w:rsidR="00B57762">
        <w:t>30</w:t>
      </w:r>
      <w:r w:rsidRPr="00E42339">
        <w:t>_transport_logistic_2011_9</w:t>
      </w:r>
      <w:r>
        <w:t>.pdf</w:t>
      </w:r>
    </w:p>
    <w:p w:rsidR="00B806CD" w:rsidRDefault="00726614" w:rsidP="00B97D0A">
      <w:pPr>
        <w:spacing w:before="120" w:after="0"/>
        <w:ind w:firstLine="284"/>
        <w:rPr>
          <w:szCs w:val="21"/>
        </w:rPr>
      </w:pPr>
      <w:r>
        <w:t xml:space="preserve">Mezi další systémy patří různé aplikace </w:t>
      </w:r>
      <w:r>
        <w:rPr>
          <w:rFonts w:eastAsiaTheme="majorEastAsia"/>
        </w:rPr>
        <w:t>Tracking</w:t>
      </w:r>
      <w:r w:rsidRPr="00D22A7F">
        <w:rPr>
          <w:rFonts w:ascii="ArialMT" w:hAnsi="ArialMT" w:cs="ArialMT"/>
          <w:sz w:val="21"/>
          <w:szCs w:val="21"/>
        </w:rPr>
        <w:t xml:space="preserve"> </w:t>
      </w:r>
      <w:r w:rsidRPr="00D22A7F">
        <w:rPr>
          <w:szCs w:val="21"/>
        </w:rPr>
        <w:t>&amp;</w:t>
      </w:r>
      <w:r>
        <w:rPr>
          <w:szCs w:val="21"/>
        </w:rPr>
        <w:t xml:space="preserve"> </w:t>
      </w:r>
      <w:r w:rsidRPr="00D22A7F">
        <w:rPr>
          <w:szCs w:val="21"/>
        </w:rPr>
        <w:t>Tracing</w:t>
      </w:r>
      <w:r>
        <w:rPr>
          <w:szCs w:val="21"/>
        </w:rPr>
        <w:t xml:space="preserve"> jednotlivých firem, které mohou přepravovat nebezpečné materiály. Tyto technologie jsou ale většinou jen pro danou firmu a informace o jejich systému nejsou uveřejněny. </w:t>
      </w:r>
    </w:p>
    <w:p w:rsidR="00B4604D" w:rsidRDefault="00B4604D" w:rsidP="00B97D0A">
      <w:pPr>
        <w:spacing w:before="120" w:after="0"/>
        <w:ind w:firstLine="284"/>
        <w:rPr>
          <w:szCs w:val="21"/>
        </w:rPr>
      </w:pPr>
      <w:r>
        <w:rPr>
          <w:szCs w:val="21"/>
        </w:rPr>
        <w:t>V současné době vzniká několik na sobě nezávislých možných řešeních sledování nebezpečných nákladů. Většina je fázi vývoje či jen vize „jak by to mohlo vypadat“. Jelikož většina informací ohledně těchto návrhů je jen na obecné úrovni, jsou zde uvedeny jen některé návrhy, u kterých bylo možné v dané době získat několik podrobnějších informací.</w:t>
      </w:r>
    </w:p>
    <w:p w:rsidR="00B4604D" w:rsidRDefault="00896A47" w:rsidP="00B97D0A">
      <w:pPr>
        <w:spacing w:before="120" w:after="0"/>
        <w:ind w:firstLine="284"/>
        <w:rPr>
          <w:szCs w:val="21"/>
        </w:rPr>
      </w:pPr>
      <w:r>
        <w:rPr>
          <w:szCs w:val="21"/>
        </w:rPr>
        <w:t xml:space="preserve">Mezi nejčastější návrhy patří sledování pomocí satelitní navigace. Ne jinak je tomu i u projektu SafeNav. Jeho cílem je umožnit celoevropské monitorování a sledování nebezpečných nákladů a podpora záchranné služby v případě nehody. </w:t>
      </w:r>
      <w:r w:rsidR="0019068D">
        <w:rPr>
          <w:szCs w:val="21"/>
        </w:rPr>
        <w:t xml:space="preserve">Kromě GPS a ruského systému GLONASS se počítá i s využitím systému GALILEO, jelikož standardní GPS a její přesnost nemusí být pro přesnou polohu vozidla dostačující. </w:t>
      </w:r>
    </w:p>
    <w:p w:rsidR="00C21FEB" w:rsidRDefault="00C21FEB" w:rsidP="00F425B8">
      <w:pPr>
        <w:spacing w:before="120" w:after="0"/>
        <w:rPr>
          <w:szCs w:val="21"/>
        </w:rPr>
      </w:pPr>
    </w:p>
    <w:p w:rsidR="00C21FEB" w:rsidRDefault="00C21FEB" w:rsidP="00F425B8">
      <w:pPr>
        <w:spacing w:before="120" w:after="0"/>
        <w:rPr>
          <w:szCs w:val="21"/>
        </w:rPr>
      </w:pPr>
    </w:p>
    <w:p w:rsidR="00310D83" w:rsidRDefault="0019068D" w:rsidP="00B97D0A">
      <w:pPr>
        <w:spacing w:before="120" w:after="0"/>
        <w:ind w:firstLine="284"/>
        <w:rPr>
          <w:szCs w:val="21"/>
        </w:rPr>
      </w:pPr>
      <w:r>
        <w:rPr>
          <w:szCs w:val="21"/>
        </w:rPr>
        <w:lastRenderedPageBreak/>
        <w:t xml:space="preserve">V listopadu 2011 byly představeny nejen cíle daného projektu, ale také systémové řešení a propojení jednotlivých komponent, které ale nejsou v současné době veřejnosti dostupné, jelikož je projekt ve fázi příprav. </w:t>
      </w:r>
      <w:r w:rsidR="004A2536">
        <w:rPr>
          <w:szCs w:val="21"/>
        </w:rPr>
        <w:t xml:space="preserve">Součástí projektu jsou i inteligentní oranžové výstražné tabulky, respektive integrace OrangeBox do nich. </w:t>
      </w:r>
      <w:r w:rsidR="00CC449E">
        <w:rPr>
          <w:szCs w:val="21"/>
        </w:rPr>
        <w:t xml:space="preserve">Různé senzory detekují, kdy je vozidlo s nebezpečným materiálem účastníkem nehody a nahlásí automaticky svojí polohu na tísňové centrum, Během několika vteřin obdrží řídící centrum datový soubor o tom, kterých vozidel se nehoda týká a jejich přesné souřadnice polohy. </w:t>
      </w:r>
    </w:p>
    <w:p w:rsidR="00310D83" w:rsidRDefault="00310D83" w:rsidP="00E42339">
      <w:pPr>
        <w:spacing w:before="120" w:after="0"/>
        <w:ind w:firstLine="0"/>
        <w:jc w:val="center"/>
        <w:rPr>
          <w:szCs w:val="21"/>
        </w:rPr>
      </w:pPr>
      <w:r>
        <w:rPr>
          <w:noProof/>
          <w:szCs w:val="21"/>
        </w:rPr>
        <w:drawing>
          <wp:inline distT="0" distB="0" distL="0" distR="0">
            <wp:extent cx="5581650" cy="1858089"/>
            <wp:effectExtent l="19050" t="0" r="0" b="0"/>
            <wp:docPr id="4" name="Obrázek 3" descr="orange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box.jpg"/>
                    <pic:cNvPicPr/>
                  </pic:nvPicPr>
                  <pic:blipFill>
                    <a:blip r:embed="rId54" cstate="print"/>
                    <a:stretch>
                      <a:fillRect/>
                    </a:stretch>
                  </pic:blipFill>
                  <pic:spPr>
                    <a:xfrm>
                      <a:off x="0" y="0"/>
                      <a:ext cx="5590906" cy="1861170"/>
                    </a:xfrm>
                    <a:prstGeom prst="rect">
                      <a:avLst/>
                    </a:prstGeom>
                  </pic:spPr>
                </pic:pic>
              </a:graphicData>
            </a:graphic>
          </wp:inline>
        </w:drawing>
      </w:r>
    </w:p>
    <w:p w:rsidR="00E42339" w:rsidRPr="00E42339" w:rsidRDefault="00E42339" w:rsidP="00E42339">
      <w:pPr>
        <w:spacing w:before="120" w:after="0"/>
        <w:jc w:val="center"/>
        <w:rPr>
          <w:i/>
          <w:szCs w:val="21"/>
        </w:rPr>
      </w:pPr>
      <w:r w:rsidRPr="00E42339">
        <w:rPr>
          <w:i/>
          <w:szCs w:val="21"/>
        </w:rPr>
        <w:t>DE – Obr. 20. – „inteligentní“ OrangeBox</w:t>
      </w:r>
      <w:r w:rsidR="009B31E6">
        <w:rPr>
          <w:i/>
          <w:szCs w:val="21"/>
        </w:rPr>
        <w:t xml:space="preserve">, </w:t>
      </w:r>
      <w:r w:rsidR="00936127" w:rsidRPr="009B31E6">
        <w:rPr>
          <w:i/>
        </w:rPr>
        <w:t>Zdroj [DE</w:t>
      </w:r>
      <w:r w:rsidR="00FF1C05">
        <w:rPr>
          <w:i/>
        </w:rPr>
        <w:t>34</w:t>
      </w:r>
      <w:r w:rsidR="00936127" w:rsidRPr="009B31E6">
        <w:rPr>
          <w:i/>
        </w:rPr>
        <w:t>]</w:t>
      </w:r>
    </w:p>
    <w:p w:rsidR="00896A47" w:rsidRDefault="00CC449E" w:rsidP="00B97D0A">
      <w:pPr>
        <w:spacing w:before="120" w:after="0"/>
        <w:ind w:firstLine="284"/>
        <w:rPr>
          <w:szCs w:val="21"/>
        </w:rPr>
      </w:pPr>
      <w:r>
        <w:rPr>
          <w:szCs w:val="21"/>
        </w:rPr>
        <w:t xml:space="preserve">Kromě OrangeBox </w:t>
      </w:r>
      <w:r w:rsidR="004E101E">
        <w:rPr>
          <w:szCs w:val="21"/>
        </w:rPr>
        <w:t>je vytvořen i projekt BlueBox. Ten se stará o sběr a předávání informací přes GSM nebo Wi-Fi brány do BlueServices SafeNav. Zde jsou data zpracovány do uživatelsky přívětivějších informací – údaje o poloze vozidla jsou zobrazovány prostřednictvím map. Vize o funkčnosti jsou</w:t>
      </w:r>
      <w:r w:rsidR="00C21FEB">
        <w:rPr>
          <w:szCs w:val="21"/>
        </w:rPr>
        <w:t xml:space="preserve"> patrné z následujícího obrázku </w:t>
      </w:r>
      <w:r w:rsidR="00BF0064">
        <w:rPr>
          <w:i/>
          <w:szCs w:val="21"/>
        </w:rPr>
        <w:t xml:space="preserve">DE - </w:t>
      </w:r>
      <w:r w:rsidR="00C21FEB" w:rsidRPr="00C21FEB">
        <w:rPr>
          <w:i/>
          <w:szCs w:val="21"/>
        </w:rPr>
        <w:t>Obr. 21. – Možné řešení SafeNav</w:t>
      </w:r>
      <w:r w:rsidR="00C21FEB">
        <w:rPr>
          <w:i/>
          <w:szCs w:val="21"/>
        </w:rPr>
        <w:t xml:space="preserve">. </w:t>
      </w:r>
    </w:p>
    <w:p w:rsidR="004E101E" w:rsidRDefault="004E101E" w:rsidP="00C21FEB">
      <w:pPr>
        <w:spacing w:before="120" w:after="0"/>
        <w:ind w:firstLine="0"/>
        <w:jc w:val="center"/>
        <w:rPr>
          <w:szCs w:val="21"/>
        </w:rPr>
      </w:pPr>
      <w:r>
        <w:rPr>
          <w:noProof/>
          <w:szCs w:val="21"/>
        </w:rPr>
        <w:drawing>
          <wp:inline distT="0" distB="0" distL="0" distR="0">
            <wp:extent cx="5335744" cy="3962400"/>
            <wp:effectExtent l="19050" t="0" r="0" b="0"/>
            <wp:docPr id="1" name="Obrázek 0" descr="Dagob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gobert.jpg"/>
                    <pic:cNvPicPr/>
                  </pic:nvPicPr>
                  <pic:blipFill>
                    <a:blip r:embed="rId55" cstate="print"/>
                    <a:stretch>
                      <a:fillRect/>
                    </a:stretch>
                  </pic:blipFill>
                  <pic:spPr>
                    <a:xfrm>
                      <a:off x="0" y="0"/>
                      <a:ext cx="5342627" cy="3967512"/>
                    </a:xfrm>
                    <a:prstGeom prst="rect">
                      <a:avLst/>
                    </a:prstGeom>
                  </pic:spPr>
                </pic:pic>
              </a:graphicData>
            </a:graphic>
          </wp:inline>
        </w:drawing>
      </w:r>
    </w:p>
    <w:p w:rsidR="00C21FEB" w:rsidRPr="00C21FEB" w:rsidRDefault="00BF0064" w:rsidP="00C21FEB">
      <w:pPr>
        <w:spacing w:before="120" w:after="0"/>
        <w:ind w:firstLine="0"/>
        <w:jc w:val="center"/>
        <w:rPr>
          <w:i/>
          <w:szCs w:val="21"/>
        </w:rPr>
      </w:pPr>
      <w:r>
        <w:rPr>
          <w:i/>
          <w:szCs w:val="21"/>
        </w:rPr>
        <w:t xml:space="preserve">DE - </w:t>
      </w:r>
      <w:r w:rsidR="00C21FEB" w:rsidRPr="00C21FEB">
        <w:rPr>
          <w:i/>
          <w:szCs w:val="21"/>
        </w:rPr>
        <w:t>Obr. 21. – Možné řešení SafeNav</w:t>
      </w:r>
      <w:r w:rsidR="00936127">
        <w:rPr>
          <w:i/>
          <w:szCs w:val="21"/>
        </w:rPr>
        <w:t xml:space="preserve">, </w:t>
      </w:r>
      <w:r w:rsidR="00936127" w:rsidRPr="009B31E6">
        <w:rPr>
          <w:i/>
        </w:rPr>
        <w:t>Zdroj [DE</w:t>
      </w:r>
      <w:r w:rsidR="00FF1C05">
        <w:rPr>
          <w:i/>
        </w:rPr>
        <w:t>34</w:t>
      </w:r>
      <w:r w:rsidR="00936127" w:rsidRPr="009B31E6">
        <w:rPr>
          <w:i/>
        </w:rPr>
        <w:t>]</w:t>
      </w:r>
    </w:p>
    <w:p w:rsidR="00C21FEB" w:rsidRDefault="00C21FEB" w:rsidP="00C21FEB">
      <w:pPr>
        <w:tabs>
          <w:tab w:val="left" w:pos="993"/>
        </w:tabs>
        <w:spacing w:after="0"/>
        <w:ind w:firstLine="284"/>
        <w:jc w:val="left"/>
      </w:pPr>
      <w:r>
        <w:rPr>
          <w:szCs w:val="21"/>
        </w:rPr>
        <w:lastRenderedPageBreak/>
        <w:t>Zdroj:</w:t>
      </w:r>
      <w:r>
        <w:rPr>
          <w:szCs w:val="21"/>
        </w:rPr>
        <w:tab/>
      </w:r>
      <w:hyperlink r:id="rId56" w:history="1">
        <w:r>
          <w:rPr>
            <w:rStyle w:val="Hypertextovodkaz"/>
          </w:rPr>
          <w:t>http://www.satnav-bgl.eu/de/aktuelles/telematik-know-how-aus-bayern-macht-gefahrguttransporte-auf-europas-strassen-sic/</w:t>
        </w:r>
      </w:hyperlink>
      <w:r>
        <w:t xml:space="preserve"> </w:t>
      </w:r>
    </w:p>
    <w:p w:rsidR="00936127" w:rsidRDefault="00107CBA" w:rsidP="00936127">
      <w:pPr>
        <w:spacing w:after="0"/>
        <w:ind w:left="284" w:firstLine="709"/>
      </w:pPr>
      <w:hyperlink r:id="rId57" w:history="1">
        <w:r w:rsidR="00936127">
          <w:rPr>
            <w:rStyle w:val="Hypertextovodkaz"/>
          </w:rPr>
          <w:t>http://www.satnav-bgl.eu/medien/2-protime.pdf</w:t>
        </w:r>
      </w:hyperlink>
    </w:p>
    <w:p w:rsidR="00C21FEB" w:rsidRDefault="00107CBA" w:rsidP="00C21FEB">
      <w:pPr>
        <w:spacing w:after="0"/>
        <w:ind w:firstLine="993"/>
      </w:pPr>
      <w:hyperlink r:id="rId58" w:history="1">
        <w:r w:rsidR="00C21FEB">
          <w:rPr>
            <w:rStyle w:val="Hypertextovodkaz"/>
          </w:rPr>
          <w:t>http://www.bmvbs.de/cae/servlet/contentblob/68730/publicationFile/40681/transport_logistic_2011_6-sichere%20navigation%20f%C3%BCr%20sicherheitsanwendungen-2_inninger.pdf</w:t>
        </w:r>
      </w:hyperlink>
    </w:p>
    <w:p w:rsidR="00C21FEB" w:rsidRDefault="00655257" w:rsidP="00B97D0A">
      <w:pPr>
        <w:tabs>
          <w:tab w:val="left" w:pos="1276"/>
        </w:tabs>
        <w:spacing w:after="0"/>
        <w:ind w:firstLine="284"/>
      </w:pPr>
      <w:r>
        <w:t>Soubor:</w:t>
      </w:r>
      <w:r>
        <w:tab/>
      </w:r>
      <w:r w:rsidRPr="00655257">
        <w:t>DE_</w:t>
      </w:r>
      <w:r w:rsidR="00B57762">
        <w:t>31</w:t>
      </w:r>
      <w:r w:rsidRPr="00655257">
        <w:t>_Telematik Know how.pdf</w:t>
      </w:r>
    </w:p>
    <w:p w:rsidR="00B97D0A" w:rsidRDefault="00B97D0A" w:rsidP="00655257">
      <w:pPr>
        <w:tabs>
          <w:tab w:val="left" w:pos="1276"/>
        </w:tabs>
        <w:spacing w:after="0"/>
      </w:pPr>
      <w:r>
        <w:tab/>
      </w:r>
      <w:r w:rsidRPr="00B97D0A">
        <w:t>DE_</w:t>
      </w:r>
      <w:r w:rsidR="00B57762">
        <w:t>32</w:t>
      </w:r>
      <w:r>
        <w:t>_www.satnav-bgl.eu.pdf</w:t>
      </w:r>
    </w:p>
    <w:p w:rsidR="00B97D0A" w:rsidRDefault="00B97D0A" w:rsidP="00655257">
      <w:pPr>
        <w:tabs>
          <w:tab w:val="left" w:pos="1276"/>
        </w:tabs>
        <w:spacing w:after="0"/>
      </w:pPr>
      <w:r>
        <w:tab/>
      </w:r>
      <w:r w:rsidRPr="00B97D0A">
        <w:t>DE_</w:t>
      </w:r>
      <w:r w:rsidR="00B57762">
        <w:t>33</w:t>
      </w:r>
      <w:r w:rsidRPr="00B97D0A">
        <w:t>_transport_logistic_2011_6</w:t>
      </w:r>
    </w:p>
    <w:p w:rsidR="00B97D0A" w:rsidRDefault="00B97D0A" w:rsidP="00655257">
      <w:pPr>
        <w:tabs>
          <w:tab w:val="left" w:pos="1276"/>
        </w:tabs>
        <w:spacing w:after="0"/>
      </w:pPr>
      <w:r>
        <w:tab/>
      </w:r>
      <w:r w:rsidR="00FF1C05">
        <w:t>DE_</w:t>
      </w:r>
      <w:r w:rsidR="00B57762">
        <w:t>34</w:t>
      </w:r>
      <w:r w:rsidRPr="00B97D0A">
        <w:t>_protime</w:t>
      </w:r>
      <w:r>
        <w:t>.pdf</w:t>
      </w:r>
    </w:p>
    <w:p w:rsidR="0019068D" w:rsidRDefault="0019068D" w:rsidP="000363D4">
      <w:pPr>
        <w:spacing w:before="120" w:after="0"/>
        <w:ind w:firstLine="284"/>
      </w:pPr>
      <w:r>
        <w:rPr>
          <w:szCs w:val="21"/>
        </w:rPr>
        <w:t>Dalším projektem z řad satelitních navigací je projekt společnosti EasyWay DAGO</w:t>
      </w:r>
      <w:r w:rsidR="00600071">
        <w:rPr>
          <w:szCs w:val="21"/>
        </w:rPr>
        <w:t>bert (</w:t>
      </w:r>
      <w:r w:rsidR="00600071" w:rsidRPr="00600071">
        <w:rPr>
          <w:szCs w:val="21"/>
        </w:rPr>
        <w:t>DAngerous GOods coordination By Exact Road-Trafficmanagement</w:t>
      </w:r>
      <w:r w:rsidR="00600071">
        <w:rPr>
          <w:szCs w:val="21"/>
        </w:rPr>
        <w:t xml:space="preserve">). Jeho cílem je analyzovat organizační strukturu dopravního managmentu a vyhodnocení dostupných technologií na trhu. </w:t>
      </w:r>
      <w:r w:rsidR="00F33BAD">
        <w:rPr>
          <w:szCs w:val="21"/>
        </w:rPr>
        <w:t xml:space="preserve">Informace o projektu a jeho zhodnocení jsou dostupné na webové stránce </w:t>
      </w:r>
      <w:hyperlink r:id="rId59" w:history="1">
        <w:r w:rsidR="00B97D0A" w:rsidRPr="00967A33">
          <w:rPr>
            <w:rStyle w:val="Hypertextovodkaz"/>
          </w:rPr>
          <w:t>http://www.its-munich.de/pdf/V-Bayern/3_Fischer.pdf</w:t>
        </w:r>
      </w:hyperlink>
      <w:r w:rsidR="00F33BAD">
        <w:t xml:space="preserve">. </w:t>
      </w:r>
    </w:p>
    <w:p w:rsidR="00B97D0A" w:rsidRDefault="00B97D0A" w:rsidP="00B97D0A">
      <w:pPr>
        <w:spacing w:before="120" w:after="0"/>
        <w:ind w:firstLine="284"/>
      </w:pPr>
      <w:r>
        <w:t xml:space="preserve">Zdroj: </w:t>
      </w:r>
      <w:hyperlink r:id="rId60" w:history="1">
        <w:r w:rsidRPr="00967A33">
          <w:rPr>
            <w:rStyle w:val="Hypertextovodkaz"/>
          </w:rPr>
          <w:t>http://www.its-munich.de/pdf/V-Bayern/3_Fischer.pdf</w:t>
        </w:r>
      </w:hyperlink>
      <w:r>
        <w:t xml:space="preserve"> </w:t>
      </w:r>
    </w:p>
    <w:p w:rsidR="004E101E" w:rsidRDefault="004E101E" w:rsidP="000363D4">
      <w:pPr>
        <w:spacing w:after="0"/>
        <w:ind w:firstLine="284"/>
      </w:pPr>
      <w:r>
        <w:t>Soubor:</w:t>
      </w:r>
      <w:r w:rsidRPr="004E101E">
        <w:t xml:space="preserve"> </w:t>
      </w:r>
      <w:r w:rsidR="00FF1C05">
        <w:t>DE_</w:t>
      </w:r>
      <w:r w:rsidR="00B57762">
        <w:t>35</w:t>
      </w:r>
      <w:r w:rsidR="00B97D0A" w:rsidRPr="00B97D0A">
        <w:t>_GGMonitoring.pdf</w:t>
      </w:r>
    </w:p>
    <w:p w:rsidR="000363D4" w:rsidRDefault="000363D4" w:rsidP="000363D4">
      <w:pPr>
        <w:spacing w:before="120" w:after="0"/>
        <w:ind w:firstLine="284"/>
        <w:rPr>
          <w:szCs w:val="21"/>
        </w:rPr>
      </w:pPr>
      <w:r>
        <w:rPr>
          <w:szCs w:val="21"/>
        </w:rPr>
        <w:t>V současné době je rozpracováno několik studií vztahujících se na sledování vozidel přepravujících nebezpečné</w:t>
      </w:r>
      <w:r w:rsidR="00BA0C88">
        <w:rPr>
          <w:szCs w:val="21"/>
        </w:rPr>
        <w:t xml:space="preserve"> věci</w:t>
      </w:r>
      <w:r>
        <w:rPr>
          <w:szCs w:val="21"/>
        </w:rPr>
        <w:t xml:space="preserve">. Několikrát do roka se schází mezinárodní pracovní skupina „Telematik“, kde jsou představeny dosažené úspěchy a další plánované kroky jednotlivých projektů. Zasedání se konají pod hlavičkou mezinárodní organizace OTIF (Mezinárodní organizace pro železniční přepravu). I přesto, že se jedná o organizaci pro železniční přepravu, na pořádaných konferencích se řeší sledování nebezpečných </w:t>
      </w:r>
      <w:r w:rsidR="00BA0C88">
        <w:rPr>
          <w:szCs w:val="21"/>
        </w:rPr>
        <w:t>věcí</w:t>
      </w:r>
      <w:r>
        <w:rPr>
          <w:szCs w:val="21"/>
        </w:rPr>
        <w:t xml:space="preserve"> i v ostatních druzích dopravy. </w:t>
      </w:r>
    </w:p>
    <w:p w:rsidR="004E101E" w:rsidRDefault="000363D4" w:rsidP="000363D4">
      <w:pPr>
        <w:spacing w:before="120" w:after="0"/>
        <w:ind w:firstLine="284"/>
      </w:pPr>
      <w:r>
        <w:rPr>
          <w:szCs w:val="21"/>
        </w:rPr>
        <w:t xml:space="preserve">Z každého zasedání je krátká zpráva, ve které jsou informace ohledně jednotlivých projektů. Nejčastěji se hovoří o pokrocích v daném systému, či o různých dílčích výsledcích testování vybrané technologie. Nejvíce návrhů vzniká právě v oblasti silniční přepravy, kde není zatím vytvořen fungující systém sledování nebezpečných nákladů. Zprávy ze zasedání jsou dostupné i několik let zpět na webové stránce mezinárodní organizace OTIF: </w:t>
      </w:r>
      <w:hyperlink r:id="rId61" w:history="1">
        <w:r>
          <w:rPr>
            <w:rStyle w:val="Hypertextovodkaz"/>
          </w:rPr>
          <w:t>http://www.otif.org/en/dangerous-goods.html</w:t>
        </w:r>
      </w:hyperlink>
      <w:r>
        <w:t xml:space="preserve">. </w:t>
      </w:r>
    </w:p>
    <w:p w:rsidR="00265865" w:rsidRDefault="000363D4" w:rsidP="00265865">
      <w:pPr>
        <w:spacing w:before="120" w:after="0"/>
        <w:ind w:firstLine="284"/>
      </w:pPr>
      <w:r>
        <w:t xml:space="preserve">Zdroj: </w:t>
      </w:r>
      <w:hyperlink r:id="rId62" w:history="1">
        <w:r w:rsidR="00265865">
          <w:rPr>
            <w:rStyle w:val="Hypertextovodkaz"/>
          </w:rPr>
          <w:t>http://www.otif.org/fileadmin/user_upload/otif_verlinkte_files/05_gef_guet/01_gem_tagung/01_2012_gem_tagung/RC_2012-INF_14_D.pdf</w:t>
        </w:r>
      </w:hyperlink>
      <w:r w:rsidR="00265865">
        <w:t xml:space="preserve"> </w:t>
      </w:r>
    </w:p>
    <w:p w:rsidR="00265865" w:rsidRDefault="00107CBA" w:rsidP="00265865">
      <w:pPr>
        <w:spacing w:after="0"/>
        <w:ind w:firstLine="0"/>
        <w:rPr>
          <w:rFonts w:eastAsiaTheme="majorEastAsia"/>
        </w:rPr>
      </w:pPr>
      <w:hyperlink r:id="rId63" w:history="1">
        <w:r w:rsidR="00265865">
          <w:rPr>
            <w:rStyle w:val="Hypertextovodkaz"/>
          </w:rPr>
          <w:t>http://www.otif.org/fileadmin/user_upload/otif_verlinkte_files/05_gef_guet/01_gem_tagung/01_2010_gem_tagung/RC_2010-42_D.pdf</w:t>
        </w:r>
      </w:hyperlink>
    </w:p>
    <w:p w:rsidR="000363D4" w:rsidRDefault="00265865" w:rsidP="00265865">
      <w:pPr>
        <w:tabs>
          <w:tab w:val="left" w:pos="1134"/>
        </w:tabs>
        <w:spacing w:after="0"/>
        <w:ind w:firstLine="284"/>
      </w:pPr>
      <w:r>
        <w:t>Soubor:</w:t>
      </w:r>
      <w:r>
        <w:tab/>
      </w:r>
      <w:r w:rsidR="00FF1C05">
        <w:t>DE_3</w:t>
      </w:r>
      <w:r w:rsidR="00B57762">
        <w:t>6</w:t>
      </w:r>
      <w:r w:rsidRPr="00265865">
        <w:t>_RC_2012-INF_14_D</w:t>
      </w:r>
      <w:r>
        <w:t>.pdf</w:t>
      </w:r>
    </w:p>
    <w:p w:rsidR="00265865" w:rsidRDefault="00265865" w:rsidP="00265865">
      <w:pPr>
        <w:tabs>
          <w:tab w:val="left" w:pos="1134"/>
        </w:tabs>
        <w:spacing w:after="0"/>
        <w:ind w:firstLine="0"/>
      </w:pPr>
      <w:r>
        <w:tab/>
      </w:r>
      <w:r w:rsidR="00FF1C05">
        <w:t>DE_3</w:t>
      </w:r>
      <w:r w:rsidR="00B57762">
        <w:t>7</w:t>
      </w:r>
      <w:r w:rsidRPr="00265865">
        <w:t>_RC_2010-42_D.pdf</w:t>
      </w:r>
    </w:p>
    <w:p w:rsidR="00641423" w:rsidRDefault="00DF1106" w:rsidP="00DF1106">
      <w:pPr>
        <w:spacing w:before="120" w:after="0"/>
        <w:ind w:firstLine="284"/>
      </w:pPr>
      <w:r>
        <w:t>Další pořádané konference na téma sledování nebezpečných nákladů jsou organizovány Spolkovým ministerstvem dopravy, výstavby a bydlení. Na jejich stránkách jsou také dostupné prezentace z  workshopů pořádaných pod daným ministerstvem. Opět se jedná spíše o informační materiály a obecné informace o možnostech sledování nebezpečných nákladů a v neposlední řadě o prezentaci spolupracuj</w:t>
      </w:r>
      <w:r w:rsidR="007243DA">
        <w:t xml:space="preserve">ících subjektů. </w:t>
      </w:r>
      <w:r>
        <w:t xml:space="preserve">Tyto prezentace nemají velký přínos pro zadané účely, jelikož z nich je patrný pouze uvažovaný způsob a architektura sítě, která bývá často jen nastíněná, protože se jedná o komerční účely a předpokládá se budoucí využití některých z prezentovaných </w:t>
      </w:r>
      <w:r w:rsidR="00641423">
        <w:t>systémů.</w:t>
      </w:r>
    </w:p>
    <w:p w:rsidR="00265865" w:rsidRDefault="00641423" w:rsidP="00DF1106">
      <w:pPr>
        <w:spacing w:before="120" w:after="0"/>
        <w:ind w:firstLine="284"/>
      </w:pPr>
      <w:r>
        <w:t xml:space="preserve">Prezentace z workshopu v roce 2011 jsou uvedeny v samostatné složce 1-DE/Prezetace/ a jsou také dostupné na zmíněných internetových stránkách ministerstva </w:t>
      </w:r>
      <w:hyperlink r:id="rId64" w:history="1">
        <w:r w:rsidRPr="00967A33">
          <w:rPr>
            <w:rStyle w:val="Hypertextovodkaz"/>
          </w:rPr>
          <w:t>www.bmvbs.de</w:t>
        </w:r>
      </w:hyperlink>
      <w:r>
        <w:t xml:space="preserve">. </w:t>
      </w:r>
    </w:p>
    <w:p w:rsidR="00753567" w:rsidRPr="00FE713E" w:rsidRDefault="004212AC" w:rsidP="00753567">
      <w:pPr>
        <w:pStyle w:val="Nadpis4"/>
        <w:rPr>
          <w:rFonts w:ascii="Times New Roman" w:eastAsiaTheme="majorEastAsia" w:hAnsi="Times New Roman"/>
        </w:rPr>
      </w:pPr>
      <w:bookmarkStart w:id="13" w:name="_Toc326741494"/>
      <w:r w:rsidRPr="00FE713E">
        <w:rPr>
          <w:rFonts w:ascii="Times New Roman" w:eastAsiaTheme="majorEastAsia" w:hAnsi="Times New Roman"/>
        </w:rPr>
        <w:lastRenderedPageBreak/>
        <w:t>Vnitrozemská v</w:t>
      </w:r>
      <w:r w:rsidR="00753567" w:rsidRPr="00FE713E">
        <w:rPr>
          <w:rFonts w:ascii="Times New Roman" w:eastAsiaTheme="majorEastAsia" w:hAnsi="Times New Roman"/>
        </w:rPr>
        <w:t>odní přeprava</w:t>
      </w:r>
      <w:bookmarkEnd w:id="13"/>
    </w:p>
    <w:p w:rsidR="001443A8" w:rsidRDefault="001443A8" w:rsidP="001443A8">
      <w:pPr>
        <w:spacing w:before="120" w:after="0"/>
        <w:ind w:firstLine="284"/>
      </w:pPr>
      <w:r w:rsidRPr="001443A8">
        <w:t>V Německu je zaveden systém RIS (</w:t>
      </w:r>
      <w:r w:rsidRPr="001443A8">
        <w:rPr>
          <w:color w:val="000000"/>
          <w:shd w:val="clear" w:color="auto" w:fill="FFFFFF"/>
        </w:rPr>
        <w:t xml:space="preserve">River Information Services) a od roku 2005 </w:t>
      </w:r>
      <w:r>
        <w:t xml:space="preserve">je zaveden i v právním řádu směrnicí 2005/44/ES, která je součástí souboru </w:t>
      </w:r>
      <w:r w:rsidRPr="001443A8">
        <w:t>DE_32_RIS-Rahmenrichtlinie-englisch</w:t>
      </w:r>
      <w:r>
        <w:t xml:space="preserve">.pdf. </w:t>
      </w:r>
      <w:r w:rsidR="00BA0C88">
        <w:t xml:space="preserve">Během několika posledních let byly v Evropě vyvinuty různé systémy podporující řízení a sledování lodí. </w:t>
      </w:r>
      <w:r w:rsidR="00AA59E5">
        <w:t xml:space="preserve">Některé z nich byly vybudovány i v Německu (MIB/MOVES, ELWIS, Argo) a díky rozdílnosti těchto systému se vnitrozemská doprava potýká s problém spojení jednotlivých architektur sítě. V rámci mezinárodní spolupráce byl vyvinut koncept říčních informačních služeb RIS. </w:t>
      </w:r>
    </w:p>
    <w:p w:rsidR="00AA59E5" w:rsidRDefault="00AA59E5" w:rsidP="001443A8">
      <w:pPr>
        <w:spacing w:before="120" w:after="0"/>
        <w:ind w:firstLine="284"/>
      </w:pPr>
      <w:r>
        <w:t xml:space="preserve">V současné době </w:t>
      </w:r>
      <w:r w:rsidR="00AD1852">
        <w:t>správa německých vodních cest a plavební správy (WVS) spravuje následující telemati</w:t>
      </w:r>
      <w:r w:rsidR="00065334">
        <w:t>c</w:t>
      </w:r>
      <w:r w:rsidR="00AD1852">
        <w:t xml:space="preserve">ké aplikace. Jedná se o vnitrozemskou ECDIS, centrální informační </w:t>
      </w:r>
      <w:r w:rsidR="005443C0">
        <w:t>navigační</w:t>
      </w:r>
      <w:r w:rsidR="00AD1852">
        <w:t xml:space="preserve"> rádio servis (NIF) a o elektronickou vodní informační službu (ELWIS). </w:t>
      </w:r>
    </w:p>
    <w:p w:rsidR="00AD1852" w:rsidRDefault="00AD1852" w:rsidP="001443A8">
      <w:pPr>
        <w:spacing w:before="120" w:after="0"/>
        <w:ind w:firstLine="284"/>
      </w:pPr>
      <w:r>
        <w:t xml:space="preserve">ECDIS je systém pro zobrazování elektronických plavebních map a dalších informací a je určen pro bezpečnost a efektivitu vnitrozemské vodní dopravy. Tím také přispívá k ochraně životního prostředí. V budoucnu se počítá s využitím telematiky v oblasti vnitrozemské vodní dopravy právě na základě současného systému ECDIS. Jedná se například o AIS-transpordéry, radarové systémy či o dozor při plánování tras. </w:t>
      </w:r>
      <w:r w:rsidR="00572571">
        <w:t>Aplikací je například elektronický informační systém ARGO. Vnitrozemský systém ECDIS se rozděluje na dva standardy a to navigační a informační. V režimu navigace jsou známy v současné době následující zařízení – RADARpilot 720°, což je unikátní navigační systém, radar se satelitní navigací GPS a integrovanou elektronickou kartou. Dalším zaříz</w:t>
      </w:r>
      <w:r w:rsidR="007243DA">
        <w:t xml:space="preserve">ením je Periskal Radar Overlay a Navigis Radar Overlay. Informační systém se využívá pro zobrazení elektronické vodní mapy, jako například elektronický atlas. </w:t>
      </w:r>
      <w:r w:rsidR="00FA314C">
        <w:t xml:space="preserve">Na palubě lodi může být integrována karta pro příjem GNSS signálu, což umožňuje sledovat pohyb lodi v elektronickém mapovém podkladu. V současnosti se používá několik systémů od různých výrobců. Jejich aktuální seznam je uveden na stránkách informačního systému </w:t>
      </w:r>
      <w:hyperlink r:id="rId65" w:history="1">
        <w:r w:rsidR="00FA314C">
          <w:rPr>
            <w:rStyle w:val="Hypertextovodkaz"/>
          </w:rPr>
          <w:t>http://www.elwis.de</w:t>
        </w:r>
      </w:hyperlink>
      <w:r w:rsidR="00FA314C">
        <w:t xml:space="preserve">. </w:t>
      </w:r>
    </w:p>
    <w:p w:rsidR="00572571" w:rsidRDefault="00E00440" w:rsidP="001443A8">
      <w:pPr>
        <w:spacing w:before="120" w:after="0"/>
        <w:ind w:firstLine="284"/>
      </w:pPr>
      <w:r w:rsidRPr="005443C0">
        <w:t xml:space="preserve">Centrální informační </w:t>
      </w:r>
      <w:r w:rsidR="005443C0" w:rsidRPr="005443C0">
        <w:t>navigační rádio servis NIF (</w:t>
      </w:r>
      <w:r w:rsidR="005443C0" w:rsidRPr="005443C0">
        <w:rPr>
          <w:color w:val="000000"/>
          <w:shd w:val="clear" w:color="auto" w:fill="FFFFFF"/>
        </w:rPr>
        <w:t>Zentraler Nautischer Informationsfunkdienst)</w:t>
      </w:r>
      <w:r w:rsidR="005443C0">
        <w:rPr>
          <w:rFonts w:ascii="Arial" w:hAnsi="Arial" w:cs="Arial"/>
          <w:color w:val="000000"/>
          <w:sz w:val="20"/>
          <w:szCs w:val="20"/>
          <w:shd w:val="clear" w:color="auto" w:fill="FFFFFF"/>
        </w:rPr>
        <w:t xml:space="preserve"> </w:t>
      </w:r>
      <w:r w:rsidR="005443C0">
        <w:t xml:space="preserve">byl založen před 10 lety a je nejsilnějším pilířem komunikace mezi lodí a řízením pro vnitrozemské vodní cesty. </w:t>
      </w:r>
    </w:p>
    <w:p w:rsidR="005443C0" w:rsidRPr="005443C0" w:rsidRDefault="005443C0" w:rsidP="001443A8">
      <w:pPr>
        <w:spacing w:before="120" w:after="0"/>
        <w:ind w:firstLine="284"/>
      </w:pPr>
      <w:r>
        <w:t>Elektronická vodní informační služba ELWIS (</w:t>
      </w:r>
      <w:r w:rsidRPr="005443C0">
        <w:rPr>
          <w:color w:val="000000"/>
          <w:shd w:val="clear" w:color="auto" w:fill="FFFFFF"/>
        </w:rPr>
        <w:t>Elektronischer Wasserstraßen-Informationsservice</w:t>
      </w:r>
      <w:r w:rsidRPr="005443C0">
        <w:t>)</w:t>
      </w:r>
      <w:r>
        <w:t xml:space="preserve"> podporuje provozovatele lodní dopravy při plánování trasy. To má pozitivní vliv na dopravní tok a tím také na bezpečnost. </w:t>
      </w:r>
    </w:p>
    <w:p w:rsidR="00572571" w:rsidRDefault="001443A8" w:rsidP="00FF1C05">
      <w:pPr>
        <w:tabs>
          <w:tab w:val="left" w:pos="993"/>
        </w:tabs>
        <w:spacing w:before="120" w:after="0"/>
        <w:ind w:firstLine="284"/>
      </w:pPr>
      <w:r>
        <w:t>Zdroj:</w:t>
      </w:r>
      <w:r w:rsidR="00572571">
        <w:tab/>
      </w:r>
      <w:hyperlink r:id="rId66" w:history="1">
        <w:r w:rsidR="005443C0" w:rsidRPr="00596B07">
          <w:rPr>
            <w:rStyle w:val="Hypertextovodkaz"/>
          </w:rPr>
          <w:t>http://www.elwis.de/RIS-Telematik/ris/River-Information-Services/index.html</w:t>
        </w:r>
      </w:hyperlink>
    </w:p>
    <w:p w:rsidR="00FF1C05" w:rsidRDefault="00FF1C05" w:rsidP="00572571">
      <w:pPr>
        <w:tabs>
          <w:tab w:val="left" w:pos="993"/>
        </w:tabs>
        <w:spacing w:after="0"/>
        <w:ind w:firstLine="284"/>
      </w:pPr>
      <w:r>
        <w:tab/>
      </w:r>
      <w:hyperlink r:id="rId67" w:history="1">
        <w:r>
          <w:rPr>
            <w:rStyle w:val="Hypertextovodkaz"/>
          </w:rPr>
          <w:t>http://www.innovative-navigation.de/in_htm/produkte_d.htm</w:t>
        </w:r>
      </w:hyperlink>
    </w:p>
    <w:p w:rsidR="001443A8" w:rsidRDefault="00572571" w:rsidP="00572571">
      <w:pPr>
        <w:tabs>
          <w:tab w:val="left" w:pos="1134"/>
        </w:tabs>
        <w:spacing w:after="0"/>
        <w:ind w:firstLine="284"/>
      </w:pPr>
      <w:r>
        <w:t>Soubor:</w:t>
      </w:r>
      <w:r>
        <w:tab/>
      </w:r>
      <w:r w:rsidR="001443A8" w:rsidRPr="001443A8">
        <w:t>DE_3</w:t>
      </w:r>
      <w:r w:rsidR="00B57762">
        <w:t>8</w:t>
      </w:r>
      <w:r w:rsidR="001443A8" w:rsidRPr="001443A8">
        <w:t>_RIS-Rahmenrichtlinie-englisch</w:t>
      </w:r>
      <w:r w:rsidR="001443A8">
        <w:t>.pdf</w:t>
      </w:r>
    </w:p>
    <w:p w:rsidR="00572571" w:rsidRDefault="00572571" w:rsidP="00572571">
      <w:pPr>
        <w:tabs>
          <w:tab w:val="left" w:pos="1134"/>
        </w:tabs>
        <w:spacing w:after="0"/>
        <w:ind w:firstLine="284"/>
      </w:pPr>
      <w:r>
        <w:tab/>
      </w:r>
      <w:r w:rsidRPr="00572571">
        <w:t>DE_3</w:t>
      </w:r>
      <w:r w:rsidR="00B57762">
        <w:t>9</w:t>
      </w:r>
      <w:r w:rsidRPr="00572571">
        <w:t>_Produkte- in-innovative navigation GmbH</w:t>
      </w:r>
    </w:p>
    <w:p w:rsidR="00753567" w:rsidRDefault="00753567" w:rsidP="00805A67">
      <w:pPr>
        <w:spacing w:after="0"/>
        <w:rPr>
          <w:rFonts w:eastAsiaTheme="majorEastAsia"/>
        </w:rPr>
      </w:pPr>
    </w:p>
    <w:p w:rsidR="00C53C89" w:rsidRDefault="00C53C89">
      <w:pPr>
        <w:spacing w:after="0"/>
        <w:ind w:firstLine="0"/>
        <w:jc w:val="left"/>
      </w:pPr>
      <w:r>
        <w:br w:type="page"/>
      </w:r>
    </w:p>
    <w:p w:rsidR="00805A67" w:rsidRPr="00FE713E" w:rsidRDefault="00805A67" w:rsidP="00805A67">
      <w:pPr>
        <w:pStyle w:val="Nadpis4"/>
        <w:rPr>
          <w:rFonts w:ascii="Times New Roman" w:eastAsiaTheme="majorEastAsia" w:hAnsi="Times New Roman"/>
        </w:rPr>
      </w:pPr>
      <w:bookmarkStart w:id="14" w:name="_Toc326741495"/>
      <w:r w:rsidRPr="00FE713E">
        <w:rPr>
          <w:rFonts w:ascii="Times New Roman" w:eastAsiaTheme="majorEastAsia" w:hAnsi="Times New Roman"/>
        </w:rPr>
        <w:lastRenderedPageBreak/>
        <w:t>Systémová řešení přes vybrané druhy přeprav</w:t>
      </w:r>
      <w:bookmarkEnd w:id="14"/>
    </w:p>
    <w:p w:rsidR="00726614" w:rsidRPr="00D22A7F" w:rsidRDefault="00805A67" w:rsidP="00BF0064">
      <w:pPr>
        <w:spacing w:before="120"/>
        <w:ind w:firstLine="284"/>
        <w:rPr>
          <w:rFonts w:eastAsiaTheme="majorEastAsia"/>
        </w:rPr>
      </w:pPr>
      <w:r>
        <w:rPr>
          <w:rFonts w:eastAsiaTheme="majorEastAsia"/>
        </w:rPr>
        <w:t>V současné době neexistuje žádný intermodální telematický systém pro sled</w:t>
      </w:r>
      <w:r w:rsidR="00726614">
        <w:rPr>
          <w:rFonts w:eastAsiaTheme="majorEastAsia"/>
        </w:rPr>
        <w:t xml:space="preserve">ování nebezpečných </w:t>
      </w:r>
      <w:r w:rsidR="00BF0064">
        <w:rPr>
          <w:rFonts w:eastAsiaTheme="majorEastAsia"/>
        </w:rPr>
        <w:t>věcí</w:t>
      </w:r>
      <w:r w:rsidR="00726614">
        <w:rPr>
          <w:rFonts w:eastAsiaTheme="majorEastAsia"/>
        </w:rPr>
        <w:t>. Otázkou propojení jednotlivých typů sledování vozidel nejen v rámci silniční dopravy se zabývá řada předních expertů. Mezi nejčastěji využívané technologie sledování pohybu vozidel s nebezpečným nákladem patří již zmiňované RFID, ERM=SAP či Tracking</w:t>
      </w:r>
      <w:r w:rsidR="00726614" w:rsidRPr="00D22A7F">
        <w:rPr>
          <w:rFonts w:ascii="ArialMT" w:hAnsi="ArialMT" w:cs="ArialMT"/>
          <w:sz w:val="21"/>
          <w:szCs w:val="21"/>
        </w:rPr>
        <w:t xml:space="preserve"> </w:t>
      </w:r>
      <w:r w:rsidR="00726614" w:rsidRPr="00D22A7F">
        <w:rPr>
          <w:szCs w:val="21"/>
        </w:rPr>
        <w:t>&amp;</w:t>
      </w:r>
      <w:r w:rsidR="00726614">
        <w:rPr>
          <w:szCs w:val="21"/>
        </w:rPr>
        <w:t xml:space="preserve"> </w:t>
      </w:r>
      <w:r w:rsidR="00726614" w:rsidRPr="00D22A7F">
        <w:rPr>
          <w:szCs w:val="21"/>
        </w:rPr>
        <w:t>Tracing</w:t>
      </w:r>
      <w:r w:rsidR="00726614">
        <w:rPr>
          <w:szCs w:val="21"/>
        </w:rPr>
        <w:t>. Tyto stávající systémy ale nejsou nijak standardizovány.</w:t>
      </w:r>
      <w:r w:rsidR="00726614" w:rsidRPr="00D22A7F">
        <w:rPr>
          <w:szCs w:val="21"/>
        </w:rPr>
        <w:t xml:space="preserve"> </w:t>
      </w:r>
      <w:r w:rsidR="00726614">
        <w:rPr>
          <w:rFonts w:eastAsiaTheme="majorEastAsia"/>
        </w:rPr>
        <w:t>Vytvoření intermodálního systému sledování polohy je však nezbytné. Na následujícím obrázku</w:t>
      </w:r>
      <w:r w:rsidR="00BF0064">
        <w:rPr>
          <w:rFonts w:eastAsiaTheme="majorEastAsia"/>
        </w:rPr>
        <w:t xml:space="preserve"> </w:t>
      </w:r>
      <w:r w:rsidR="00BF0064" w:rsidRPr="00BF0064">
        <w:rPr>
          <w:rFonts w:eastAsiaTheme="majorEastAsia"/>
          <w:i/>
        </w:rPr>
        <w:t>DE – Obr. 22. – Návrh sjednocení aplikací</w:t>
      </w:r>
      <w:r w:rsidR="00726614">
        <w:rPr>
          <w:rFonts w:eastAsiaTheme="majorEastAsia"/>
        </w:rPr>
        <w:t xml:space="preserve"> je uveden návrh intermodálního telematického systému, který propojuje jednotlivé druhy přepravy</w:t>
      </w:r>
      <w:r w:rsidR="00BF0064">
        <w:rPr>
          <w:rFonts w:eastAsiaTheme="majorEastAsia"/>
        </w:rPr>
        <w:t>.</w:t>
      </w:r>
    </w:p>
    <w:p w:rsidR="00805A67" w:rsidRDefault="00805A67" w:rsidP="009E661F">
      <w:pPr>
        <w:spacing w:after="0"/>
        <w:ind w:firstLine="0"/>
        <w:jc w:val="center"/>
        <w:rPr>
          <w:rFonts w:eastAsiaTheme="majorEastAsia"/>
        </w:rPr>
      </w:pPr>
      <w:r>
        <w:rPr>
          <w:rFonts w:eastAsiaTheme="majorEastAsia"/>
          <w:noProof/>
        </w:rPr>
        <w:drawing>
          <wp:inline distT="0" distB="0" distL="0" distR="0">
            <wp:extent cx="5067300" cy="2727473"/>
            <wp:effectExtent l="19050" t="0" r="0" b="0"/>
            <wp:docPr id="35" name="Obrázek 3" descr="kombinovana_doprava_propoj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binovana_doprava_propojeni.jpg"/>
                    <pic:cNvPicPr/>
                  </pic:nvPicPr>
                  <pic:blipFill>
                    <a:blip r:embed="rId68" cstate="print"/>
                    <a:stretch>
                      <a:fillRect/>
                    </a:stretch>
                  </pic:blipFill>
                  <pic:spPr>
                    <a:xfrm>
                      <a:off x="0" y="0"/>
                      <a:ext cx="5074547" cy="2731374"/>
                    </a:xfrm>
                    <a:prstGeom prst="rect">
                      <a:avLst/>
                    </a:prstGeom>
                  </pic:spPr>
                </pic:pic>
              </a:graphicData>
            </a:graphic>
          </wp:inline>
        </w:drawing>
      </w:r>
    </w:p>
    <w:p w:rsidR="00BF0064" w:rsidRPr="00BF0064" w:rsidRDefault="00BF0064" w:rsidP="00BF0064">
      <w:pPr>
        <w:spacing w:before="120"/>
        <w:ind w:firstLine="0"/>
        <w:jc w:val="center"/>
        <w:rPr>
          <w:rFonts w:eastAsiaTheme="majorEastAsia"/>
          <w:i/>
        </w:rPr>
      </w:pPr>
      <w:r w:rsidRPr="00BF0064">
        <w:rPr>
          <w:rFonts w:eastAsiaTheme="majorEastAsia"/>
          <w:i/>
        </w:rPr>
        <w:t>DE – Obr. 22. – Návrh sjednocení aplikací</w:t>
      </w:r>
      <w:r w:rsidR="00FF1C05">
        <w:rPr>
          <w:rFonts w:eastAsiaTheme="majorEastAsia"/>
          <w:i/>
        </w:rPr>
        <w:t xml:space="preserve">, Zdroj </w:t>
      </w:r>
      <w:r w:rsidR="00FF1C05" w:rsidRPr="009B31E6">
        <w:rPr>
          <w:i/>
        </w:rPr>
        <w:t>[DE</w:t>
      </w:r>
      <w:r w:rsidR="00FF1C05">
        <w:rPr>
          <w:i/>
        </w:rPr>
        <w:t>41</w:t>
      </w:r>
      <w:r w:rsidR="00FF1C05" w:rsidRPr="009B31E6">
        <w:rPr>
          <w:i/>
        </w:rPr>
        <w:t>]</w:t>
      </w:r>
    </w:p>
    <w:p w:rsidR="009E661F" w:rsidRDefault="009D5A75" w:rsidP="00BF0064">
      <w:pPr>
        <w:ind w:firstLine="284"/>
        <w:rPr>
          <w:rFonts w:eastAsiaTheme="majorEastAsia"/>
        </w:rPr>
      </w:pPr>
      <w:r>
        <w:rPr>
          <w:rFonts w:eastAsiaTheme="majorEastAsia"/>
        </w:rPr>
        <w:t>Požadavky na t</w:t>
      </w:r>
      <w:r w:rsidR="007368F0">
        <w:rPr>
          <w:rFonts w:eastAsiaTheme="majorEastAsia"/>
        </w:rPr>
        <w:t xml:space="preserve">elematické rozhraní </w:t>
      </w:r>
      <w:r>
        <w:rPr>
          <w:rFonts w:eastAsiaTheme="majorEastAsia"/>
        </w:rPr>
        <w:t xml:space="preserve">jsou standardy telematických aplikací jako je např. již využívané </w:t>
      </w:r>
      <w:r w:rsidRPr="009D5A75">
        <w:rPr>
          <w:rFonts w:eastAsiaTheme="majorEastAsia"/>
        </w:rPr>
        <w:t>Tracking &amp;</w:t>
      </w:r>
      <w:r>
        <w:rPr>
          <w:rFonts w:eastAsiaTheme="majorEastAsia"/>
        </w:rPr>
        <w:t xml:space="preserve"> </w:t>
      </w:r>
      <w:r w:rsidRPr="009D5A75">
        <w:rPr>
          <w:rFonts w:eastAsiaTheme="majorEastAsia"/>
        </w:rPr>
        <w:t>Tracing</w:t>
      </w:r>
      <w:r>
        <w:rPr>
          <w:rFonts w:eastAsiaTheme="majorEastAsia"/>
        </w:rPr>
        <w:t xml:space="preserve">. Většina nákladních vozidel má již zabudované palubní jednotky, ty je možné pro účely sledování pohybu rozšířit o další aplikace k tomu potřebné. Využití celoevropského intermodálního telematického systému by mělo být založeno na technologii RFID a různých senzorů. Další podrobnější informace o tom, jak by systém měl fungovat jsou uvedeny v přiloženém souboru </w:t>
      </w:r>
      <w:r w:rsidR="00BF0064">
        <w:rPr>
          <w:rFonts w:eastAsiaTheme="majorEastAsia"/>
        </w:rPr>
        <w:t>DE_34 (níže)</w:t>
      </w:r>
      <w:r>
        <w:rPr>
          <w:rFonts w:eastAsiaTheme="majorEastAsia"/>
        </w:rPr>
        <w:t xml:space="preserve">. </w:t>
      </w:r>
    </w:p>
    <w:p w:rsidR="009E661F" w:rsidRPr="009E661F" w:rsidRDefault="009E661F" w:rsidP="00C53C89">
      <w:pPr>
        <w:jc w:val="center"/>
        <w:rPr>
          <w:rFonts w:eastAsiaTheme="majorEastAsia"/>
        </w:rPr>
      </w:pPr>
      <w:r>
        <w:rPr>
          <w:rFonts w:eastAsiaTheme="majorEastAsia"/>
          <w:noProof/>
        </w:rPr>
        <w:drawing>
          <wp:inline distT="0" distB="0" distL="0" distR="0">
            <wp:extent cx="2000250" cy="2112358"/>
            <wp:effectExtent l="19050" t="0" r="0" b="0"/>
            <wp:docPr id="5" name="Obrázek 4" descr="heu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ute.jpg"/>
                    <pic:cNvPicPr/>
                  </pic:nvPicPr>
                  <pic:blipFill>
                    <a:blip r:embed="rId69" cstate="print"/>
                    <a:stretch>
                      <a:fillRect/>
                    </a:stretch>
                  </pic:blipFill>
                  <pic:spPr>
                    <a:xfrm>
                      <a:off x="0" y="0"/>
                      <a:ext cx="2005004" cy="2117378"/>
                    </a:xfrm>
                    <a:prstGeom prst="rect">
                      <a:avLst/>
                    </a:prstGeom>
                  </pic:spPr>
                </pic:pic>
              </a:graphicData>
            </a:graphic>
          </wp:inline>
        </w:drawing>
      </w:r>
    </w:p>
    <w:p w:rsidR="00805A67" w:rsidRDefault="00BF0064" w:rsidP="00BF0064">
      <w:pPr>
        <w:jc w:val="center"/>
        <w:rPr>
          <w:rFonts w:eastAsiaTheme="majorEastAsia"/>
          <w:i/>
        </w:rPr>
      </w:pPr>
      <w:r w:rsidRPr="00BF0064">
        <w:rPr>
          <w:rFonts w:eastAsiaTheme="majorEastAsia"/>
          <w:i/>
        </w:rPr>
        <w:t>DE – Obr. 23. – Navrhovaný systém lokalizace</w:t>
      </w:r>
      <w:r w:rsidR="00FF1C05">
        <w:rPr>
          <w:rFonts w:eastAsiaTheme="majorEastAsia"/>
          <w:i/>
        </w:rPr>
        <w:t xml:space="preserve">, Zdroj </w:t>
      </w:r>
      <w:r w:rsidR="00FF1C05" w:rsidRPr="009B31E6">
        <w:rPr>
          <w:i/>
        </w:rPr>
        <w:t>[DE</w:t>
      </w:r>
      <w:r w:rsidR="00FF1C05">
        <w:rPr>
          <w:i/>
        </w:rPr>
        <w:t>41</w:t>
      </w:r>
      <w:r w:rsidR="00FF1C05" w:rsidRPr="009B31E6">
        <w:rPr>
          <w:i/>
        </w:rPr>
        <w:t>]</w:t>
      </w:r>
    </w:p>
    <w:p w:rsidR="00BF0064" w:rsidRDefault="00B465E6" w:rsidP="00B465E6">
      <w:pPr>
        <w:tabs>
          <w:tab w:val="left" w:pos="1134"/>
        </w:tabs>
        <w:spacing w:after="0"/>
        <w:ind w:firstLine="284"/>
        <w:rPr>
          <w:rFonts w:eastAsiaTheme="majorEastAsia"/>
        </w:rPr>
      </w:pPr>
      <w:r>
        <w:rPr>
          <w:rFonts w:eastAsiaTheme="majorEastAsia"/>
        </w:rPr>
        <w:t>Soubor:</w:t>
      </w:r>
      <w:r>
        <w:rPr>
          <w:rFonts w:eastAsiaTheme="majorEastAsia"/>
        </w:rPr>
        <w:tab/>
      </w:r>
      <w:r w:rsidRPr="00B465E6">
        <w:rPr>
          <w:rFonts w:eastAsiaTheme="majorEastAsia"/>
        </w:rPr>
        <w:t>DE_</w:t>
      </w:r>
      <w:r w:rsidR="00B57762">
        <w:rPr>
          <w:rFonts w:eastAsiaTheme="majorEastAsia"/>
        </w:rPr>
        <w:t>40</w:t>
      </w:r>
      <w:r w:rsidRPr="00B465E6">
        <w:rPr>
          <w:rFonts w:eastAsiaTheme="majorEastAsia"/>
        </w:rPr>
        <w:t>_Claude_Pfauvadel.pdf</w:t>
      </w:r>
    </w:p>
    <w:p w:rsidR="00B465E6" w:rsidRDefault="00B465E6" w:rsidP="00B465E6">
      <w:pPr>
        <w:tabs>
          <w:tab w:val="left" w:pos="1134"/>
        </w:tabs>
        <w:spacing w:after="0"/>
        <w:ind w:firstLine="284"/>
        <w:rPr>
          <w:rFonts w:eastAsiaTheme="majorEastAsia"/>
        </w:rPr>
      </w:pPr>
      <w:r>
        <w:rPr>
          <w:rFonts w:eastAsiaTheme="majorEastAsia"/>
        </w:rPr>
        <w:tab/>
        <w:t>DE_</w:t>
      </w:r>
      <w:r w:rsidR="00B57762">
        <w:rPr>
          <w:rFonts w:eastAsiaTheme="majorEastAsia"/>
        </w:rPr>
        <w:t>41</w:t>
      </w:r>
      <w:r>
        <w:rPr>
          <w:rFonts w:eastAsiaTheme="majorEastAsia"/>
        </w:rPr>
        <w:t>_intermodalni_navrh_nemecko.pdf</w:t>
      </w:r>
    </w:p>
    <w:p w:rsidR="0001696D" w:rsidRPr="00FE713E" w:rsidRDefault="004212AC" w:rsidP="0001696D">
      <w:pPr>
        <w:pStyle w:val="Nadpis3"/>
        <w:rPr>
          <w:rFonts w:ascii="Times New Roman" w:eastAsiaTheme="majorEastAsia" w:hAnsi="Times New Roman"/>
          <w:sz w:val="28"/>
        </w:rPr>
      </w:pPr>
      <w:bookmarkStart w:id="15" w:name="_Toc326741496"/>
      <w:r w:rsidRPr="00FE713E">
        <w:rPr>
          <w:rFonts w:ascii="Times New Roman" w:eastAsiaTheme="majorEastAsia" w:hAnsi="Times New Roman"/>
          <w:sz w:val="28"/>
        </w:rPr>
        <w:lastRenderedPageBreak/>
        <w:t>Chemický průmysl</w:t>
      </w:r>
      <w:bookmarkEnd w:id="15"/>
    </w:p>
    <w:p w:rsidR="004212AC" w:rsidRPr="00FE713E" w:rsidRDefault="004212AC" w:rsidP="004212AC">
      <w:pPr>
        <w:pStyle w:val="Nadpis4"/>
        <w:rPr>
          <w:rFonts w:ascii="Times New Roman" w:eastAsiaTheme="majorEastAsia" w:hAnsi="Times New Roman"/>
        </w:rPr>
      </w:pPr>
      <w:bookmarkStart w:id="16" w:name="_Toc326741497"/>
      <w:r w:rsidRPr="00FE713E">
        <w:rPr>
          <w:rFonts w:ascii="Times New Roman" w:hAnsi="Times New Roman"/>
        </w:rPr>
        <w:t>VCI-Verband der Chemischen Industrie</w:t>
      </w:r>
      <w:bookmarkEnd w:id="16"/>
    </w:p>
    <w:p w:rsidR="00B465E6" w:rsidRDefault="00B465E6" w:rsidP="00E01488">
      <w:pPr>
        <w:spacing w:before="120" w:after="0"/>
        <w:ind w:firstLine="284"/>
      </w:pPr>
      <w:r>
        <w:t>Jedná se o německý spolek zastupující ekonomické zájmy více než 1600 chemických společností v Německu. Zabývá se širokou škálou aktivit, z nichž největší důraz je kladen na chemický průmysl a následnou ochranu životního prostředí. Své zastoupení má ve všech spolkových zemích.</w:t>
      </w:r>
    </w:p>
    <w:p w:rsidR="00B465E6" w:rsidRDefault="00B465E6" w:rsidP="00E01488">
      <w:pPr>
        <w:spacing w:before="120" w:after="0"/>
        <w:ind w:firstLine="284"/>
      </w:pPr>
      <w:r>
        <w:t xml:space="preserve">Mezi jeden ze 13 výborů VCI patří logistika a provoz, který se zaměřuje na přepravu nebezpečných látek. Mezi složky VCI patří i TUIS, které působí nejen v Německu, ale i v sousedním Rakousku. </w:t>
      </w:r>
    </w:p>
    <w:p w:rsidR="004212AC" w:rsidRPr="00FE713E" w:rsidRDefault="004212AC" w:rsidP="004212AC">
      <w:pPr>
        <w:pStyle w:val="Nadpis4"/>
        <w:rPr>
          <w:rFonts w:ascii="Times New Roman" w:eastAsiaTheme="majorEastAsia" w:hAnsi="Times New Roman"/>
        </w:rPr>
      </w:pPr>
      <w:bookmarkStart w:id="17" w:name="_Toc326741498"/>
      <w:r w:rsidRPr="00FE713E">
        <w:rPr>
          <w:rFonts w:ascii="Times New Roman" w:hAnsi="Times New Roman"/>
        </w:rPr>
        <w:t>TUIS - Transport-Unfall-Informations- und Hilfeleistungssystem</w:t>
      </w:r>
      <w:bookmarkEnd w:id="17"/>
    </w:p>
    <w:p w:rsidR="00B465E6" w:rsidRDefault="00B465E6" w:rsidP="00E01488">
      <w:pPr>
        <w:spacing w:before="120" w:after="0"/>
        <w:ind w:firstLine="284"/>
      </w:pPr>
      <w:r w:rsidRPr="00953034">
        <w:t>Chemikálie patří mezi látky, které jsou ve velkém množství přepravovány jak v silniční, vodní či železniční dopravě. Bezpečnost přepravy chemických látek je pro společnosti v německém chemickém průmyslu nejvyšší důležitostí. Ale i přes všechny bezpečnostní opatření nelze nehody vyloučit. Pro tyto účely byla založena organizace TUIS. V organizac</w:t>
      </w:r>
      <w:r>
        <w:t>i</w:t>
      </w:r>
      <w:r w:rsidRPr="00953034">
        <w:t xml:space="preserve"> je zapojeno přes 130 německých chemický</w:t>
      </w:r>
      <w:r>
        <w:t>ch společností. Zajišťuje rychlou</w:t>
      </w:r>
      <w:r w:rsidRPr="00953034">
        <w:t xml:space="preserve">, efektivní a profesionální pomoc při nehodách s chemickými látkami. </w:t>
      </w:r>
    </w:p>
    <w:p w:rsidR="00B465E6" w:rsidRDefault="00B465E6" w:rsidP="00B465E6">
      <w:pPr>
        <w:spacing w:before="120" w:after="0"/>
      </w:pPr>
      <w:r w:rsidRPr="00953034">
        <w:t>TUIS je součástí globální iniciativy RCI (Responsible Care Initiative) chemického průmyslu. Zajišťuje celostátní pomoc při dopravních nehodách či při mimořádných situacích.</w:t>
      </w:r>
    </w:p>
    <w:p w:rsidR="00B465E6" w:rsidRPr="00953034" w:rsidRDefault="00B465E6" w:rsidP="00B465E6">
      <w:pPr>
        <w:spacing w:before="120" w:after="0"/>
        <w:jc w:val="center"/>
      </w:pPr>
      <w:r>
        <w:rPr>
          <w:noProof/>
        </w:rPr>
        <w:drawing>
          <wp:inline distT="0" distB="0" distL="0" distR="0">
            <wp:extent cx="3181350" cy="4354731"/>
            <wp:effectExtent l="19050" t="0" r="0" b="0"/>
            <wp:docPr id="8" name="Obrázek 7" descr="TUIS_S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IS_SRN.jpg"/>
                    <pic:cNvPicPr/>
                  </pic:nvPicPr>
                  <pic:blipFill>
                    <a:blip r:embed="rId70" cstate="print"/>
                    <a:stretch>
                      <a:fillRect/>
                    </a:stretch>
                  </pic:blipFill>
                  <pic:spPr>
                    <a:xfrm>
                      <a:off x="0" y="0"/>
                      <a:ext cx="3181350" cy="4354731"/>
                    </a:xfrm>
                    <a:prstGeom prst="rect">
                      <a:avLst/>
                    </a:prstGeom>
                  </pic:spPr>
                </pic:pic>
              </a:graphicData>
            </a:graphic>
          </wp:inline>
        </w:drawing>
      </w:r>
    </w:p>
    <w:p w:rsidR="00B465E6" w:rsidRPr="00953034" w:rsidRDefault="00B465E6" w:rsidP="00B465E6">
      <w:pPr>
        <w:spacing w:before="120"/>
        <w:jc w:val="center"/>
        <w:rPr>
          <w:i/>
        </w:rPr>
      </w:pPr>
      <w:r>
        <w:rPr>
          <w:i/>
        </w:rPr>
        <w:t>DE – Obr. 24. – Mapa umístění sídel TUIS</w:t>
      </w:r>
      <w:r w:rsidR="008312A8">
        <w:rPr>
          <w:i/>
        </w:rPr>
        <w:t xml:space="preserve">, </w:t>
      </w:r>
      <w:r w:rsidR="008312A8">
        <w:rPr>
          <w:rFonts w:eastAsiaTheme="majorEastAsia"/>
          <w:i/>
        </w:rPr>
        <w:t xml:space="preserve">Zdroj </w:t>
      </w:r>
      <w:r w:rsidR="008312A8" w:rsidRPr="009B31E6">
        <w:rPr>
          <w:i/>
        </w:rPr>
        <w:t>[DE</w:t>
      </w:r>
      <w:r w:rsidR="008312A8">
        <w:rPr>
          <w:i/>
        </w:rPr>
        <w:t>44</w:t>
      </w:r>
      <w:r w:rsidR="008312A8" w:rsidRPr="009B31E6">
        <w:rPr>
          <w:i/>
        </w:rPr>
        <w:t>]</w:t>
      </w:r>
    </w:p>
    <w:p w:rsidR="00B465E6" w:rsidRDefault="00B465E6" w:rsidP="00B465E6">
      <w:pPr>
        <w:spacing w:after="0"/>
      </w:pPr>
    </w:p>
    <w:p w:rsidR="00B465E6" w:rsidRDefault="00B465E6" w:rsidP="00B465E6">
      <w:pPr>
        <w:spacing w:after="0"/>
        <w:ind w:firstLine="284"/>
      </w:pPr>
      <w:r w:rsidRPr="00953034">
        <w:lastRenderedPageBreak/>
        <w:t>Individuální pomoc nabízí kolem 130 členských společností. Informace a doporučení od odborníků jsou založeny na současném zabezpečení dat a dlouhodobých zkušeností.</w:t>
      </w:r>
    </w:p>
    <w:p w:rsidR="005D42AC" w:rsidRDefault="005D42AC" w:rsidP="005D42AC">
      <w:pPr>
        <w:spacing w:after="0"/>
        <w:ind w:firstLine="284"/>
        <w:jc w:val="center"/>
        <w:rPr>
          <w:i/>
        </w:rPr>
      </w:pPr>
      <w:r>
        <w:rPr>
          <w:noProof/>
        </w:rPr>
        <w:drawing>
          <wp:inline distT="0" distB="0" distL="0" distR="0">
            <wp:extent cx="3200400" cy="4529380"/>
            <wp:effectExtent l="19050" t="0" r="0" b="0"/>
            <wp:docPr id="9" name="Obrázek 8" descr="TUIS_Sc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IS_Schema.jpg"/>
                    <pic:cNvPicPr/>
                  </pic:nvPicPr>
                  <pic:blipFill>
                    <a:blip r:embed="rId71" cstate="print"/>
                    <a:stretch>
                      <a:fillRect/>
                    </a:stretch>
                  </pic:blipFill>
                  <pic:spPr>
                    <a:xfrm>
                      <a:off x="0" y="0"/>
                      <a:ext cx="3200400" cy="4529380"/>
                    </a:xfrm>
                    <a:prstGeom prst="rect">
                      <a:avLst/>
                    </a:prstGeom>
                  </pic:spPr>
                </pic:pic>
              </a:graphicData>
            </a:graphic>
          </wp:inline>
        </w:drawing>
      </w:r>
    </w:p>
    <w:p w:rsidR="005D42AC" w:rsidRPr="005D42AC" w:rsidRDefault="005D42AC" w:rsidP="005D42AC">
      <w:pPr>
        <w:spacing w:before="120"/>
        <w:ind w:firstLine="284"/>
        <w:jc w:val="center"/>
        <w:rPr>
          <w:i/>
        </w:rPr>
      </w:pPr>
      <w:r w:rsidRPr="005D42AC">
        <w:rPr>
          <w:i/>
        </w:rPr>
        <w:t>DE – Obr. 25. – Schéma pomoci TUIS</w:t>
      </w:r>
      <w:r w:rsidR="008312A8">
        <w:rPr>
          <w:i/>
        </w:rPr>
        <w:t xml:space="preserve">, </w:t>
      </w:r>
      <w:r w:rsidR="008312A8">
        <w:rPr>
          <w:rFonts w:eastAsiaTheme="majorEastAsia"/>
          <w:i/>
        </w:rPr>
        <w:t xml:space="preserve">Zdroj </w:t>
      </w:r>
      <w:r w:rsidR="008312A8" w:rsidRPr="009B31E6">
        <w:rPr>
          <w:i/>
        </w:rPr>
        <w:t>[DE</w:t>
      </w:r>
      <w:r w:rsidR="008312A8">
        <w:rPr>
          <w:i/>
        </w:rPr>
        <w:t>44</w:t>
      </w:r>
      <w:r w:rsidR="008312A8" w:rsidRPr="009B31E6">
        <w:rPr>
          <w:i/>
        </w:rPr>
        <w:t>]</w:t>
      </w:r>
    </w:p>
    <w:p w:rsidR="00B465E6" w:rsidRPr="00953034" w:rsidRDefault="00B465E6" w:rsidP="005D42AC">
      <w:pPr>
        <w:spacing w:after="0"/>
        <w:ind w:firstLine="284"/>
      </w:pPr>
      <w:r w:rsidRPr="00953034">
        <w:t xml:space="preserve">Pro účelnou možnost pomoci byla vytvořena informační TUIS databáze, ve které najdeme podle tzv. čísla umístění jméno a místo nejbližšího člena společnosti, telefonní číslo a nabízený stupeň pomoci (charakter a rozsah nabídky). Jinak, v případě nouze mohou příslušné orgány zavoláním na TUIS-Notrufzentralen (tísňová centrála) zjistit určité členské firmy, které jsou pro dané místo nehody nejlépe dostupné. Tato centrála tísňového volání je dostupná po celý den a celý rok. </w:t>
      </w:r>
    </w:p>
    <w:p w:rsidR="00813B83" w:rsidRDefault="00B465E6" w:rsidP="00813B83">
      <w:pPr>
        <w:spacing w:before="120" w:after="0"/>
        <w:ind w:firstLine="284"/>
      </w:pPr>
      <w:r w:rsidRPr="00953034">
        <w:t xml:space="preserve">V praxi je k dispozici třístupňový systém pomoci. V prvním kroku se jedná o odborné poradenství na telefonu, v druhém kroku odborné poradenství v místě nehody a posledním krokem je technická pomoc v místě nehody. Poradenství přes telefon se uplatňuje například v situaci, kdy automobil převážející chemické látky byl přítomen u autonehody, ale sám nebyl účastníkem a pro zajištění bezpečnosti jsou požadovány odborné znalosti dané látky. V tomto případě je nutno získat kontakt na některou z členských firem (například přes tísňovou linku). </w:t>
      </w:r>
    </w:p>
    <w:p w:rsidR="00813B83" w:rsidRDefault="00B465E6" w:rsidP="00813B83">
      <w:pPr>
        <w:spacing w:before="120" w:after="0"/>
        <w:ind w:firstLine="284"/>
      </w:pPr>
      <w:r w:rsidRPr="00953034">
        <w:t>Druhý krok – odborné poradenství na místě nehody se využívá v případech, kdy policie nebo hasiči potřebují při nehodě chemikálií dodatečnou informaci na místě. Přes centrum tísňového volání se nalezne členská společnost v blízkosti místa nehody. Poradce TUIS nebo tým odborníků pak podporuje polici</w:t>
      </w:r>
      <w:r w:rsidR="00813B83">
        <w:t>i</w:t>
      </w:r>
      <w:r w:rsidRPr="00953034">
        <w:t xml:space="preserve"> nebo hasiče přímo na místě nehody svými odbornými znalostmi a zkušenostmi. </w:t>
      </w:r>
    </w:p>
    <w:p w:rsidR="002B6745" w:rsidRDefault="002B6745" w:rsidP="00813B83">
      <w:pPr>
        <w:spacing w:before="120" w:after="0"/>
        <w:ind w:firstLine="284"/>
      </w:pPr>
    </w:p>
    <w:p w:rsidR="00B465E6" w:rsidRDefault="00B465E6" w:rsidP="00813B83">
      <w:pPr>
        <w:spacing w:before="120" w:after="0"/>
        <w:ind w:firstLine="284"/>
      </w:pPr>
      <w:r w:rsidRPr="00953034">
        <w:lastRenderedPageBreak/>
        <w:t xml:space="preserve">Poslední stupeň pomoci - technická podpora na místě nehody je využita v případě, </w:t>
      </w:r>
      <w:r w:rsidR="0054420E">
        <w:t xml:space="preserve">kdy například </w:t>
      </w:r>
      <w:r w:rsidRPr="00953034">
        <w:t>z nádrže na chemickou látku daná látka uniká. Na místo je vyslán speciální TUIS hasičský záchranný sbor, který na místě řeší danou situaci na základě svých zkušeností a znalostí</w:t>
      </w:r>
      <w:r w:rsidR="0054420E">
        <w:t xml:space="preserve"> s pomocí nejmodernější technologie</w:t>
      </w:r>
      <w:r w:rsidRPr="00953034">
        <w:t xml:space="preserve">. Jedná se o odborně vyškolený personál s rozsáhlými znalostmi, který se povolává pouze v poslední fázi pomoci, kdy předcházející možnosti nejsou dostačující. </w:t>
      </w:r>
    </w:p>
    <w:p w:rsidR="0054420E" w:rsidRDefault="0054420E" w:rsidP="0054420E">
      <w:pPr>
        <w:spacing w:before="120" w:after="0"/>
        <w:ind w:firstLine="284"/>
        <w:jc w:val="center"/>
      </w:pPr>
      <w:r>
        <w:rPr>
          <w:noProof/>
        </w:rPr>
        <w:drawing>
          <wp:inline distT="0" distB="0" distL="0" distR="0">
            <wp:extent cx="3214688" cy="2571750"/>
            <wp:effectExtent l="19050" t="0" r="4762" b="0"/>
            <wp:docPr id="10" name="Obrázek 9" descr="tu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is1.jpg"/>
                    <pic:cNvPicPr/>
                  </pic:nvPicPr>
                  <pic:blipFill>
                    <a:blip r:embed="rId72" cstate="print"/>
                    <a:stretch>
                      <a:fillRect/>
                    </a:stretch>
                  </pic:blipFill>
                  <pic:spPr>
                    <a:xfrm>
                      <a:off x="0" y="0"/>
                      <a:ext cx="3216460" cy="2573168"/>
                    </a:xfrm>
                    <a:prstGeom prst="rect">
                      <a:avLst/>
                    </a:prstGeom>
                  </pic:spPr>
                </pic:pic>
              </a:graphicData>
            </a:graphic>
          </wp:inline>
        </w:drawing>
      </w:r>
    </w:p>
    <w:p w:rsidR="0054420E" w:rsidRPr="0054420E" w:rsidRDefault="0054420E" w:rsidP="0054420E">
      <w:pPr>
        <w:spacing w:before="120" w:after="0"/>
        <w:ind w:firstLine="284"/>
        <w:jc w:val="center"/>
        <w:rPr>
          <w:i/>
        </w:rPr>
      </w:pPr>
      <w:r w:rsidRPr="0054420E">
        <w:rPr>
          <w:i/>
        </w:rPr>
        <w:t>DE – Obr. 26. – Technika TUIS v</w:t>
      </w:r>
      <w:r w:rsidR="008312A8">
        <w:rPr>
          <w:i/>
        </w:rPr>
        <w:t> </w:t>
      </w:r>
      <w:r w:rsidRPr="0054420E">
        <w:rPr>
          <w:i/>
        </w:rPr>
        <w:t>akci</w:t>
      </w:r>
      <w:r w:rsidR="008312A8">
        <w:rPr>
          <w:i/>
        </w:rPr>
        <w:t xml:space="preserve">, </w:t>
      </w:r>
      <w:r w:rsidR="008312A8">
        <w:rPr>
          <w:rFonts w:eastAsiaTheme="majorEastAsia"/>
          <w:i/>
        </w:rPr>
        <w:t xml:space="preserve">Zdroj </w:t>
      </w:r>
      <w:r w:rsidR="008312A8" w:rsidRPr="009B31E6">
        <w:rPr>
          <w:i/>
        </w:rPr>
        <w:t>[DE</w:t>
      </w:r>
      <w:r w:rsidR="008312A8">
        <w:rPr>
          <w:i/>
        </w:rPr>
        <w:t>44</w:t>
      </w:r>
      <w:r w:rsidR="008312A8" w:rsidRPr="009B31E6">
        <w:rPr>
          <w:i/>
        </w:rPr>
        <w:t>]</w:t>
      </w:r>
    </w:p>
    <w:p w:rsidR="00813B83" w:rsidRDefault="00813B83" w:rsidP="0054420E">
      <w:pPr>
        <w:tabs>
          <w:tab w:val="left" w:pos="993"/>
        </w:tabs>
        <w:spacing w:before="120" w:after="0"/>
        <w:ind w:firstLine="284"/>
      </w:pPr>
      <w:r>
        <w:t>Zdroj:</w:t>
      </w:r>
      <w:r w:rsidR="0054420E">
        <w:tab/>
      </w:r>
      <w:hyperlink r:id="rId73" w:history="1">
        <w:r>
          <w:rPr>
            <w:rStyle w:val="Hypertextovodkaz"/>
          </w:rPr>
          <w:t>https://www.vci.de/Seiten/Startseite.aspx</w:t>
        </w:r>
      </w:hyperlink>
    </w:p>
    <w:p w:rsidR="00813B83" w:rsidRDefault="00813B83" w:rsidP="00813B83">
      <w:pPr>
        <w:tabs>
          <w:tab w:val="left" w:pos="1134"/>
        </w:tabs>
        <w:spacing w:after="0"/>
        <w:ind w:firstLine="284"/>
      </w:pPr>
      <w:r>
        <w:t>Soubor:</w:t>
      </w:r>
      <w:r>
        <w:tab/>
      </w:r>
      <w:r w:rsidRPr="00813B83">
        <w:t>DE_</w:t>
      </w:r>
      <w:r w:rsidR="00B57762">
        <w:t>43</w:t>
      </w:r>
      <w:r w:rsidRPr="00813B83">
        <w:t>_TUIS_Broschuere_127760_DE.pdf</w:t>
      </w:r>
    </w:p>
    <w:p w:rsidR="00813B83" w:rsidRDefault="00813B83" w:rsidP="00813B83">
      <w:pPr>
        <w:tabs>
          <w:tab w:val="left" w:pos="1134"/>
        </w:tabs>
        <w:spacing w:after="0"/>
        <w:ind w:firstLine="284"/>
        <w:rPr>
          <w:rFonts w:eastAsiaTheme="majorEastAsia"/>
        </w:rPr>
      </w:pPr>
      <w:r>
        <w:rPr>
          <w:rFonts w:eastAsiaTheme="majorEastAsia"/>
        </w:rPr>
        <w:tab/>
        <w:t>DE</w:t>
      </w:r>
      <w:r w:rsidRPr="00813B83">
        <w:rPr>
          <w:rFonts w:eastAsiaTheme="majorEastAsia"/>
        </w:rPr>
        <w:t>_</w:t>
      </w:r>
      <w:r w:rsidR="00B57762">
        <w:rPr>
          <w:rFonts w:eastAsiaTheme="majorEastAsia"/>
        </w:rPr>
        <w:t>44</w:t>
      </w:r>
      <w:r w:rsidRPr="00813B83">
        <w:rPr>
          <w:rFonts w:eastAsiaTheme="majorEastAsia"/>
        </w:rPr>
        <w:t>_TUIS_Broschüre_2010</w:t>
      </w:r>
      <w:r>
        <w:rPr>
          <w:rFonts w:eastAsiaTheme="majorEastAsia"/>
        </w:rPr>
        <w:t>.pdf</w:t>
      </w:r>
    </w:p>
    <w:p w:rsidR="002B6745" w:rsidRPr="00FE713E" w:rsidRDefault="002B6745" w:rsidP="002B6745">
      <w:pPr>
        <w:pStyle w:val="Nadpis3"/>
        <w:rPr>
          <w:rFonts w:ascii="Times New Roman" w:eastAsiaTheme="majorEastAsia" w:hAnsi="Times New Roman"/>
          <w:sz w:val="28"/>
        </w:rPr>
      </w:pPr>
      <w:bookmarkStart w:id="18" w:name="_Toc326741499"/>
      <w:r>
        <w:rPr>
          <w:rFonts w:ascii="Times New Roman" w:eastAsiaTheme="majorEastAsia" w:hAnsi="Times New Roman"/>
          <w:sz w:val="28"/>
        </w:rPr>
        <w:t>Shrnutí</w:t>
      </w:r>
      <w:bookmarkEnd w:id="18"/>
    </w:p>
    <w:p w:rsidR="00B465E6" w:rsidRDefault="00610128" w:rsidP="00610128">
      <w:pPr>
        <w:spacing w:before="120" w:after="0"/>
        <w:ind w:firstLine="284"/>
        <w:rPr>
          <w:rFonts w:eastAsiaTheme="majorEastAsia"/>
        </w:rPr>
      </w:pPr>
      <w:r>
        <w:rPr>
          <w:rFonts w:eastAsiaTheme="majorEastAsia"/>
        </w:rPr>
        <w:t xml:space="preserve">Ve Spolkové republice Německo je otázka sledování přepravy nebezpečných věcí velice aktuálním tématem, neboť neexistuje kompletní systém, který by tuto problematiku řešil. Na toto téma se pořádá řada konferencí, kde se představují jednotlivé návrhy systémů. </w:t>
      </w:r>
    </w:p>
    <w:p w:rsidR="006D707C" w:rsidRDefault="006D707C" w:rsidP="00610128">
      <w:pPr>
        <w:spacing w:before="120" w:after="0"/>
        <w:ind w:firstLine="284"/>
        <w:rPr>
          <w:rFonts w:eastAsiaTheme="majorEastAsia"/>
        </w:rPr>
      </w:pPr>
      <w:r>
        <w:rPr>
          <w:rFonts w:eastAsiaTheme="majorEastAsia"/>
        </w:rPr>
        <w:t>Systém, který by mohl fungovat v rámci železniční dopravy</w:t>
      </w:r>
      <w:r w:rsidR="00065334">
        <w:rPr>
          <w:rFonts w:eastAsiaTheme="majorEastAsia"/>
        </w:rPr>
        <w:t>,</w:t>
      </w:r>
      <w:r>
        <w:rPr>
          <w:rFonts w:eastAsiaTheme="majorEastAsia"/>
        </w:rPr>
        <w:t xml:space="preserve"> se jeví jako ucelený. Jedná se nejen o GSM-R, ale také o popsaný telematický systém, který využívá i komunikace mezi lokomotivou a vagony, které mají senzory pro snímání některých stavových hodnot a mohou vyhodnocovat stav nákladu. GSM-R v Německu již zavedený je a využívá se, ale legislativně není nijak ošetřen. To samé se týká i druhého zmiňovaného systému, který se vyžívá jen v některých případech, které byly uvedeny. </w:t>
      </w:r>
    </w:p>
    <w:p w:rsidR="008B0350" w:rsidRDefault="008B0350" w:rsidP="00610128">
      <w:pPr>
        <w:spacing w:before="120" w:after="0"/>
        <w:ind w:firstLine="284"/>
        <w:rPr>
          <w:rFonts w:eastAsiaTheme="majorEastAsia"/>
        </w:rPr>
      </w:pPr>
      <w:r>
        <w:rPr>
          <w:rFonts w:eastAsiaTheme="majorEastAsia"/>
        </w:rPr>
        <w:t xml:space="preserve">Ne tak jednoznačná je situace v silniční dopravě. </w:t>
      </w:r>
      <w:r w:rsidR="00E31FA8">
        <w:rPr>
          <w:rFonts w:eastAsiaTheme="majorEastAsia"/>
        </w:rPr>
        <w:t>Zde se objevu</w:t>
      </w:r>
      <w:r w:rsidR="0035448F">
        <w:rPr>
          <w:rFonts w:eastAsiaTheme="majorEastAsia"/>
        </w:rPr>
        <w:t>je</w:t>
      </w:r>
      <w:r w:rsidR="00E31FA8">
        <w:rPr>
          <w:rFonts w:eastAsiaTheme="majorEastAsia"/>
        </w:rPr>
        <w:t xml:space="preserve"> několik systémů vytvořených speciálně pro sledování pohybu vozidel s nebezpečnými věcmi. Zatím se jedná o návrhy</w:t>
      </w:r>
      <w:r w:rsidR="00065334">
        <w:rPr>
          <w:rFonts w:eastAsiaTheme="majorEastAsia"/>
        </w:rPr>
        <w:t>,</w:t>
      </w:r>
      <w:r w:rsidR="00E31FA8">
        <w:rPr>
          <w:rFonts w:eastAsiaTheme="majorEastAsia"/>
        </w:rPr>
        <w:t xml:space="preserve"> u kterých není zcela jasné, které z nich budou v budoucnu využity a které ne. V současné době existují pouze systémy pro obecné sledování zboží či zásilky v rámci některé soukromé společnosti. </w:t>
      </w:r>
    </w:p>
    <w:p w:rsidR="00CE4393" w:rsidRDefault="00CE4393" w:rsidP="00610128">
      <w:pPr>
        <w:spacing w:before="120" w:after="0"/>
        <w:ind w:firstLine="284"/>
        <w:rPr>
          <w:rFonts w:eastAsiaTheme="majorEastAsia"/>
        </w:rPr>
      </w:pPr>
      <w:r>
        <w:rPr>
          <w:rFonts w:eastAsiaTheme="majorEastAsia"/>
        </w:rPr>
        <w:t xml:space="preserve">O sledování nebezpečných věcí přepravujících se po vnitrozemských vodních cestách nebylo nalezeno příliš mnoho informací, jen informace týkající se mezinárodního projektu RIS. Spíše je kladen důraz na sledování zásilek které do Německa připlouvají po moři a v některých přístavech existují systémy pro sledování lodí s tímto nákladem. </w:t>
      </w:r>
    </w:p>
    <w:p w:rsidR="00610128" w:rsidRDefault="00610128" w:rsidP="00B465E6">
      <w:pPr>
        <w:spacing w:after="0"/>
        <w:ind w:firstLine="284"/>
        <w:rPr>
          <w:rFonts w:eastAsiaTheme="majorEastAsia"/>
        </w:rPr>
      </w:pPr>
    </w:p>
    <w:p w:rsidR="00B465E6" w:rsidRDefault="00B465E6">
      <w:pPr>
        <w:spacing w:after="0"/>
        <w:ind w:firstLine="0"/>
        <w:jc w:val="left"/>
        <w:rPr>
          <w:rFonts w:eastAsiaTheme="majorEastAsia"/>
        </w:rPr>
      </w:pPr>
      <w:r>
        <w:rPr>
          <w:rFonts w:eastAsiaTheme="majorEastAsia"/>
        </w:rPr>
        <w:br w:type="page"/>
      </w:r>
    </w:p>
    <w:p w:rsidR="00953034" w:rsidRPr="00E01488" w:rsidRDefault="00953034" w:rsidP="00953034">
      <w:pPr>
        <w:pStyle w:val="Nadpis2"/>
        <w:rPr>
          <w:rFonts w:eastAsiaTheme="majorEastAsia"/>
          <w:sz w:val="30"/>
          <w:szCs w:val="30"/>
        </w:rPr>
      </w:pPr>
      <w:bookmarkStart w:id="19" w:name="_Toc326741500"/>
      <w:r w:rsidRPr="00E01488">
        <w:rPr>
          <w:rFonts w:eastAsiaTheme="majorEastAsia"/>
          <w:sz w:val="30"/>
          <w:szCs w:val="30"/>
        </w:rPr>
        <w:lastRenderedPageBreak/>
        <w:t>Republika Rakousko</w:t>
      </w:r>
      <w:bookmarkEnd w:id="19"/>
    </w:p>
    <w:p w:rsidR="00953034" w:rsidRPr="00E01488" w:rsidRDefault="00953034" w:rsidP="00953034">
      <w:pPr>
        <w:pStyle w:val="Nadpis3"/>
        <w:rPr>
          <w:rFonts w:ascii="Times New Roman" w:eastAsiaTheme="majorEastAsia" w:hAnsi="Times New Roman"/>
          <w:sz w:val="28"/>
        </w:rPr>
      </w:pPr>
      <w:bookmarkStart w:id="20" w:name="_Toc326741501"/>
      <w:r w:rsidRPr="00E01488">
        <w:rPr>
          <w:rFonts w:ascii="Times New Roman" w:eastAsiaTheme="majorEastAsia" w:hAnsi="Times New Roman"/>
          <w:sz w:val="28"/>
        </w:rPr>
        <w:t>Legislativní rámec</w:t>
      </w:r>
      <w:bookmarkEnd w:id="20"/>
    </w:p>
    <w:p w:rsidR="00953034" w:rsidRPr="00B3786C" w:rsidRDefault="00953034" w:rsidP="00170E62">
      <w:pPr>
        <w:spacing w:after="0"/>
        <w:ind w:firstLine="0"/>
        <w:rPr>
          <w:b/>
          <w:color w:val="000000"/>
          <w:szCs w:val="20"/>
          <w:shd w:val="clear" w:color="auto" w:fill="FFFFFF"/>
        </w:rPr>
      </w:pPr>
      <w:r w:rsidRPr="00B3786C">
        <w:rPr>
          <w:b/>
          <w:color w:val="000000"/>
          <w:szCs w:val="20"/>
          <w:shd w:val="clear" w:color="auto" w:fill="FFFFFF"/>
        </w:rPr>
        <w:t>Gefahrgutbeförderungsgesetz (GGBG) – Zákon o přepravě nebezpečných věcí</w:t>
      </w:r>
    </w:p>
    <w:p w:rsidR="00170E62" w:rsidRDefault="00953034" w:rsidP="00170E62">
      <w:pPr>
        <w:spacing w:before="120" w:after="0"/>
        <w:ind w:firstLine="284"/>
        <w:rPr>
          <w:color w:val="000000"/>
          <w:szCs w:val="20"/>
          <w:shd w:val="clear" w:color="auto" w:fill="FFFFFF"/>
        </w:rPr>
      </w:pPr>
      <w:r>
        <w:rPr>
          <w:color w:val="000000"/>
          <w:szCs w:val="20"/>
          <w:shd w:val="clear" w:color="auto" w:fill="FFFFFF"/>
        </w:rPr>
        <w:t xml:space="preserve">ČÁST 1 §1, §2, §3: Tento zákon se vztahuje na přepravu nebezpečných věcí po silnici, železnici, vodních cestách, moři a platí i pro civilní letectví. Zákon se nevztahuje na přepravu nebezpečných materiálů v uzavřených areálech a na vozidla ozbrojených sil. Zavání definice pojmů nebezpečné materiály, přeprava nebezpečných látek a další pojmy související s přepravou. </w:t>
      </w:r>
    </w:p>
    <w:p w:rsidR="00953034" w:rsidRDefault="00065334" w:rsidP="00170E62">
      <w:pPr>
        <w:spacing w:before="120" w:after="0"/>
        <w:ind w:firstLine="284"/>
        <w:rPr>
          <w:color w:val="000000"/>
          <w:szCs w:val="20"/>
          <w:shd w:val="clear" w:color="auto" w:fill="FFFFFF"/>
        </w:rPr>
      </w:pPr>
      <w:r>
        <w:rPr>
          <w:color w:val="000000"/>
          <w:szCs w:val="20"/>
          <w:shd w:val="clear" w:color="auto" w:fill="FFFFFF"/>
        </w:rPr>
        <w:t xml:space="preserve">Dopravní specifická </w:t>
      </w:r>
      <w:r w:rsidR="00953034">
        <w:rPr>
          <w:color w:val="000000"/>
          <w:szCs w:val="20"/>
          <w:shd w:val="clear" w:color="auto" w:fill="FFFFFF"/>
        </w:rPr>
        <w:t>ustanovení jsou uprave</w:t>
      </w:r>
      <w:r>
        <w:rPr>
          <w:color w:val="000000"/>
          <w:szCs w:val="20"/>
          <w:shd w:val="clear" w:color="auto" w:fill="FFFFFF"/>
        </w:rPr>
        <w:t>na</w:t>
      </w:r>
      <w:r w:rsidR="00953034">
        <w:rPr>
          <w:color w:val="000000"/>
          <w:szCs w:val="20"/>
          <w:shd w:val="clear" w:color="auto" w:fill="FFFFFF"/>
        </w:rPr>
        <w:t xml:space="preserve"> v obecných ustanoveních jako je:</w:t>
      </w:r>
    </w:p>
    <w:p w:rsidR="00953034" w:rsidRDefault="00953034" w:rsidP="00170E62">
      <w:pPr>
        <w:spacing w:after="0"/>
        <w:ind w:firstLine="0"/>
        <w:rPr>
          <w:color w:val="000000"/>
          <w:szCs w:val="20"/>
          <w:shd w:val="clear" w:color="auto" w:fill="FFFFFF"/>
        </w:rPr>
      </w:pPr>
      <w:r>
        <w:rPr>
          <w:color w:val="000000"/>
          <w:szCs w:val="20"/>
          <w:shd w:val="clear" w:color="auto" w:fill="FFFFFF"/>
        </w:rPr>
        <w:t>Zákon o motorových vozidlech</w:t>
      </w:r>
      <w:r w:rsidRPr="007E0B2F">
        <w:rPr>
          <w:color w:val="000000"/>
          <w:szCs w:val="20"/>
          <w:shd w:val="clear" w:color="auto" w:fill="FFFFFF"/>
        </w:rPr>
        <w:t xml:space="preserve"> </w:t>
      </w:r>
      <w:r w:rsidRPr="00535DD6">
        <w:rPr>
          <w:color w:val="000000"/>
          <w:szCs w:val="20"/>
          <w:shd w:val="clear" w:color="auto" w:fill="FFFFFF"/>
        </w:rPr>
        <w:t>Kraftfahrgesetz</w:t>
      </w:r>
      <w:r>
        <w:rPr>
          <w:color w:val="000000"/>
          <w:szCs w:val="20"/>
          <w:shd w:val="clear" w:color="auto" w:fill="FFFFFF"/>
        </w:rPr>
        <w:t xml:space="preserve"> </w:t>
      </w:r>
      <w:r w:rsidRPr="007E0B2F">
        <w:rPr>
          <w:color w:val="000000"/>
          <w:szCs w:val="20"/>
          <w:shd w:val="clear" w:color="auto" w:fill="FFFFFF"/>
        </w:rPr>
        <w:t>1967 (KFG), BGBl. Nr. 267/1967</w:t>
      </w:r>
      <w:r>
        <w:rPr>
          <w:color w:val="000000"/>
          <w:szCs w:val="20"/>
          <w:shd w:val="clear" w:color="auto" w:fill="FFFFFF"/>
        </w:rPr>
        <w:t>;</w:t>
      </w:r>
    </w:p>
    <w:p w:rsidR="00953034" w:rsidRDefault="00953034" w:rsidP="00170E62">
      <w:pPr>
        <w:spacing w:after="0"/>
        <w:ind w:firstLine="0"/>
        <w:rPr>
          <w:color w:val="000000"/>
          <w:szCs w:val="20"/>
          <w:shd w:val="clear" w:color="auto" w:fill="FFFFFF"/>
        </w:rPr>
      </w:pPr>
      <w:r>
        <w:rPr>
          <w:color w:val="000000"/>
          <w:szCs w:val="20"/>
          <w:shd w:val="clear" w:color="auto" w:fill="FFFFFF"/>
        </w:rPr>
        <w:t xml:space="preserve">Zákon o drahách </w:t>
      </w:r>
      <w:r w:rsidRPr="00535DD6">
        <w:rPr>
          <w:color w:val="000000"/>
          <w:szCs w:val="20"/>
          <w:shd w:val="clear" w:color="auto" w:fill="FFFFFF"/>
        </w:rPr>
        <w:t>Eisenbahngesetz</w:t>
      </w:r>
      <w:r>
        <w:rPr>
          <w:color w:val="000000"/>
          <w:szCs w:val="20"/>
          <w:shd w:val="clear" w:color="auto" w:fill="FFFFFF"/>
        </w:rPr>
        <w:t xml:space="preserve"> </w:t>
      </w:r>
      <w:r w:rsidRPr="007E0B2F">
        <w:rPr>
          <w:color w:val="000000"/>
          <w:szCs w:val="20"/>
          <w:shd w:val="clear" w:color="auto" w:fill="FFFFFF"/>
        </w:rPr>
        <w:t>1957 (EisbG), BGBl. Nr. 60/1957</w:t>
      </w:r>
      <w:r>
        <w:rPr>
          <w:color w:val="000000"/>
          <w:szCs w:val="20"/>
          <w:shd w:val="clear" w:color="auto" w:fill="FFFFFF"/>
        </w:rPr>
        <w:t>;</w:t>
      </w:r>
    </w:p>
    <w:p w:rsidR="00953034" w:rsidRDefault="00953034" w:rsidP="00170E62">
      <w:pPr>
        <w:spacing w:after="0"/>
        <w:ind w:firstLine="0"/>
      </w:pPr>
      <w:r>
        <w:t xml:space="preserve">Zákon o lodní plavbě </w:t>
      </w:r>
      <w:r w:rsidRPr="007E0B2F">
        <w:t>Schifffahrtsgese</w:t>
      </w:r>
      <w:r>
        <w:t>tz (SchFG), BGBl. I Nr. 62/1997.</w:t>
      </w:r>
    </w:p>
    <w:p w:rsidR="00953034" w:rsidRDefault="00953034" w:rsidP="00170E62">
      <w:pPr>
        <w:spacing w:before="120" w:after="0"/>
        <w:ind w:firstLine="284"/>
      </w:pPr>
      <w:r>
        <w:t>Definuje voz</w:t>
      </w:r>
      <w:r w:rsidR="00170E62">
        <w:t>idla pro přepravu nebezpečných věcí</w:t>
      </w:r>
      <w:r>
        <w:t xml:space="preserve">, resp. definuje jejich parametry a omezení (například lesnické a zemědělské stroje nejsou považovány za vozidla ve smyslu tohoto zákona). Definuje pojmy </w:t>
      </w:r>
      <w:r w:rsidR="00170E62">
        <w:t>jako je například společnost, terminál - křižovatka</w:t>
      </w:r>
      <w:r>
        <w:t xml:space="preserve"> kombinované přepravy, ozbrojené síly a kontejner na plyn s více elementy. Určuje úkony dopravce, přepravce, odesílatele provozovatele a dalších osob, které se účastní nebo mohou účastnit při přepravě nebezpečných materiálů. </w:t>
      </w:r>
    </w:p>
    <w:p w:rsidR="00953034" w:rsidRDefault="00953034" w:rsidP="00170E62">
      <w:pPr>
        <w:spacing w:before="120" w:after="0"/>
        <w:ind w:firstLine="284"/>
        <w:rPr>
          <w:color w:val="000000"/>
          <w:szCs w:val="20"/>
          <w:shd w:val="clear" w:color="auto" w:fill="FFFFFF"/>
        </w:rPr>
      </w:pPr>
      <w:r>
        <w:t xml:space="preserve">ČÁST 2 </w:t>
      </w:r>
      <w:r>
        <w:rPr>
          <w:color w:val="000000"/>
          <w:szCs w:val="20"/>
          <w:shd w:val="clear" w:color="auto" w:fill="FFFFFF"/>
        </w:rPr>
        <w:t xml:space="preserve">§4, §5, §6: Tato část vymezuje obaly, ve kterých smí být zboží přepravováno. Definuje radioaktivní látky a jejich přepravní obaly, které mají speciální požadavky na materiál. Pro přepravu radioaktivních látek je vyžadováno povolení, které uděluje Spolkové ministerstvo dopravy, inovací a technologií. Žádost musí obsahovat veškeré potřebné informace, jednak o dané látce, tak i o obalu, ve kterém je látka přepravována. Dále stanovuje použití vozidel pro přepravu nebezpečných věcí. </w:t>
      </w:r>
    </w:p>
    <w:p w:rsidR="00953034" w:rsidRDefault="00953034" w:rsidP="00170E62">
      <w:pPr>
        <w:spacing w:before="120" w:after="0"/>
        <w:ind w:firstLine="284"/>
        <w:rPr>
          <w:color w:val="000000"/>
          <w:szCs w:val="20"/>
          <w:shd w:val="clear" w:color="auto" w:fill="FFFFFF"/>
        </w:rPr>
      </w:pPr>
      <w:r>
        <w:rPr>
          <w:color w:val="000000"/>
          <w:szCs w:val="20"/>
          <w:shd w:val="clear" w:color="auto" w:fill="FFFFFF"/>
        </w:rPr>
        <w:t xml:space="preserve">ČÁST 3 §7, §8, §9, §10, §11, §12: Udává povinnosti jednotlivých účastníků při přepravě nebezpečných věcí. Na přepravu nebezpečných je vyžadováno povolení, které, stejně jako v případě povolení o přepravu radioaktivních materiálů, vydává Spolkové ministerstvo dopravy, inovací a technologií. Žádost musí obsahovat přesný název dané látky a její popis, především z hlediska chemických a fyzikálních vlastností. Definuje pojem bezpečnostního poradce a jeho pravomoci. </w:t>
      </w:r>
    </w:p>
    <w:p w:rsidR="00953034" w:rsidRDefault="00953034" w:rsidP="00170E62">
      <w:pPr>
        <w:spacing w:before="120" w:after="0"/>
        <w:ind w:firstLine="284"/>
        <w:rPr>
          <w:color w:val="000000"/>
          <w:szCs w:val="20"/>
          <w:shd w:val="clear" w:color="auto" w:fill="FFFFFF"/>
        </w:rPr>
      </w:pPr>
      <w:r>
        <w:rPr>
          <w:color w:val="000000"/>
          <w:szCs w:val="20"/>
          <w:shd w:val="clear" w:color="auto" w:fill="FFFFFF"/>
        </w:rPr>
        <w:t xml:space="preserve">ČÁST 4 §13 - §22: Zvláštní ustanovení pro přepravu nebezpečných </w:t>
      </w:r>
      <w:r w:rsidR="00170E62">
        <w:rPr>
          <w:color w:val="000000"/>
          <w:szCs w:val="20"/>
          <w:shd w:val="clear" w:color="auto" w:fill="FFFFFF"/>
        </w:rPr>
        <w:t>věcí</w:t>
      </w:r>
      <w:r>
        <w:rPr>
          <w:color w:val="000000"/>
          <w:szCs w:val="20"/>
          <w:shd w:val="clear" w:color="auto" w:fill="FFFFFF"/>
        </w:rPr>
        <w:t xml:space="preserve"> po silnici. Při přepravě musí být zajištěna dokumentace, buď v</w:t>
      </w:r>
      <w:r w:rsidR="00D3795E">
        <w:rPr>
          <w:color w:val="000000"/>
          <w:szCs w:val="20"/>
          <w:shd w:val="clear" w:color="auto" w:fill="FFFFFF"/>
        </w:rPr>
        <w:t> </w:t>
      </w:r>
      <w:r>
        <w:rPr>
          <w:color w:val="000000"/>
          <w:szCs w:val="20"/>
          <w:shd w:val="clear" w:color="auto" w:fill="FFFFFF"/>
        </w:rPr>
        <w:t>papírové</w:t>
      </w:r>
      <w:r w:rsidR="00D3795E">
        <w:rPr>
          <w:color w:val="000000"/>
          <w:szCs w:val="20"/>
          <w:shd w:val="clear" w:color="auto" w:fill="FFFFFF"/>
        </w:rPr>
        <w:t>,</w:t>
      </w:r>
      <w:r>
        <w:rPr>
          <w:color w:val="000000"/>
          <w:szCs w:val="20"/>
          <w:shd w:val="clear" w:color="auto" w:fill="FFFFFF"/>
        </w:rPr>
        <w:t xml:space="preserve"> nebo elektronické podobě. Přesněji definuje povinnosti dopravce (například kontrola hmotnosti silničního vozidla, zda není přetížené) a definuje povinnosti řidiče vozidla. Stanovuju klasifikaci jednotlivých druhů nebezpečných látek, které jsou přepravovány po silnici. </w:t>
      </w:r>
    </w:p>
    <w:p w:rsidR="00953034" w:rsidRDefault="00953034" w:rsidP="00170E62">
      <w:pPr>
        <w:spacing w:before="120" w:after="0"/>
        <w:ind w:firstLine="284"/>
        <w:rPr>
          <w:color w:val="000000"/>
          <w:szCs w:val="20"/>
          <w:shd w:val="clear" w:color="auto" w:fill="FFFFFF"/>
        </w:rPr>
      </w:pPr>
      <w:r>
        <w:rPr>
          <w:color w:val="000000"/>
          <w:szCs w:val="20"/>
          <w:shd w:val="clear" w:color="auto" w:fill="FFFFFF"/>
        </w:rPr>
        <w:t>ČÁST 5 §23, §24: Zvláštní ustano</w:t>
      </w:r>
      <w:r w:rsidR="00170E62">
        <w:rPr>
          <w:color w:val="000000"/>
          <w:szCs w:val="20"/>
          <w:shd w:val="clear" w:color="auto" w:fill="FFFFFF"/>
        </w:rPr>
        <w:t xml:space="preserve">vení pro přepravu nebezpečných věcí </w:t>
      </w:r>
      <w:r>
        <w:rPr>
          <w:color w:val="000000"/>
          <w:szCs w:val="20"/>
          <w:shd w:val="clear" w:color="auto" w:fill="FFFFFF"/>
        </w:rPr>
        <w:t xml:space="preserve">po železnici. </w:t>
      </w:r>
    </w:p>
    <w:p w:rsidR="00953034" w:rsidRDefault="00953034" w:rsidP="00170E62">
      <w:pPr>
        <w:spacing w:before="120" w:after="0"/>
        <w:ind w:firstLine="284"/>
        <w:rPr>
          <w:color w:val="000000"/>
          <w:szCs w:val="20"/>
          <w:shd w:val="clear" w:color="auto" w:fill="FFFFFF"/>
        </w:rPr>
      </w:pPr>
      <w:r>
        <w:rPr>
          <w:color w:val="000000"/>
          <w:szCs w:val="20"/>
          <w:shd w:val="clear" w:color="auto" w:fill="FFFFFF"/>
        </w:rPr>
        <w:t xml:space="preserve">ČÁST 6 §25 - §30: Zvláštní ustanovení pro přepravu nebezpečných </w:t>
      </w:r>
      <w:r w:rsidR="00170E62">
        <w:rPr>
          <w:color w:val="000000"/>
          <w:szCs w:val="20"/>
          <w:shd w:val="clear" w:color="auto" w:fill="FFFFFF"/>
        </w:rPr>
        <w:t>věcí</w:t>
      </w:r>
      <w:r>
        <w:rPr>
          <w:color w:val="000000"/>
          <w:szCs w:val="20"/>
          <w:shd w:val="clear" w:color="auto" w:fill="FFFFFF"/>
        </w:rPr>
        <w:t xml:space="preserve"> na vodních cestách. </w:t>
      </w:r>
    </w:p>
    <w:p w:rsidR="00953034" w:rsidRDefault="00953034" w:rsidP="00170E62">
      <w:pPr>
        <w:spacing w:before="120" w:after="0"/>
        <w:ind w:firstLine="284"/>
        <w:rPr>
          <w:color w:val="000000"/>
          <w:szCs w:val="20"/>
          <w:shd w:val="clear" w:color="auto" w:fill="FFFFFF"/>
        </w:rPr>
      </w:pPr>
      <w:r>
        <w:rPr>
          <w:color w:val="000000"/>
          <w:szCs w:val="20"/>
          <w:shd w:val="clear" w:color="auto" w:fill="FFFFFF"/>
        </w:rPr>
        <w:t>ČÁST 7, ČÁST 8 Zvláštní ustanovení pro přepravu nebezpečných látek po moři a v civilním letectví (§31 - §34)</w:t>
      </w:r>
    </w:p>
    <w:p w:rsidR="00953034" w:rsidRDefault="00953034" w:rsidP="00170E62">
      <w:pPr>
        <w:spacing w:after="0"/>
        <w:ind w:firstLine="284"/>
        <w:rPr>
          <w:color w:val="000000"/>
          <w:szCs w:val="20"/>
          <w:shd w:val="clear" w:color="auto" w:fill="FFFFFF"/>
        </w:rPr>
      </w:pPr>
      <w:r>
        <w:rPr>
          <w:color w:val="000000"/>
          <w:szCs w:val="20"/>
          <w:shd w:val="clear" w:color="auto" w:fill="FFFFFF"/>
        </w:rPr>
        <w:t>ČÁST 9 §35 - §41: Pokuty a závěrečná ustanovení.</w:t>
      </w:r>
    </w:p>
    <w:p w:rsidR="00953034" w:rsidRDefault="00953034" w:rsidP="00170E62">
      <w:pPr>
        <w:spacing w:before="120" w:after="0"/>
        <w:ind w:firstLine="284"/>
      </w:pPr>
      <w:r w:rsidRPr="003B5DAC">
        <w:rPr>
          <w:color w:val="000000"/>
          <w:szCs w:val="20"/>
          <w:shd w:val="clear" w:color="auto" w:fill="FFFFFF"/>
        </w:rPr>
        <w:t>Zdroj:</w:t>
      </w:r>
      <w:hyperlink r:id="rId74" w:history="1">
        <w:r w:rsidR="00170E62" w:rsidRPr="00596B07">
          <w:rPr>
            <w:rStyle w:val="Hypertextovodkaz"/>
          </w:rPr>
          <w:t>http://www.bmvit.gv.at/verkehr/gesamtverkehr/gefahrgut/recht/aut/downloads/GGBG2011Rev11.pdf</w:t>
        </w:r>
      </w:hyperlink>
    </w:p>
    <w:p w:rsidR="00953034" w:rsidRPr="00170E62" w:rsidRDefault="00953034" w:rsidP="00170E62">
      <w:pPr>
        <w:spacing w:after="0"/>
        <w:ind w:firstLine="284"/>
      </w:pPr>
      <w:r w:rsidRPr="00170E62">
        <w:t xml:space="preserve">Soubor: </w:t>
      </w:r>
      <w:r w:rsidR="00170E62" w:rsidRPr="00170E62">
        <w:t>AT_1_Zákon_neb_látky.pdf</w:t>
      </w:r>
    </w:p>
    <w:p w:rsidR="00953034" w:rsidRPr="00B3786C" w:rsidRDefault="00953034" w:rsidP="00603FB5">
      <w:pPr>
        <w:spacing w:before="240" w:after="0"/>
        <w:ind w:firstLine="0"/>
        <w:rPr>
          <w:b/>
          <w:color w:val="000000"/>
          <w:szCs w:val="20"/>
          <w:shd w:val="clear" w:color="auto" w:fill="FFFFFF"/>
        </w:rPr>
      </w:pPr>
      <w:r w:rsidRPr="00B3786C">
        <w:rPr>
          <w:b/>
          <w:color w:val="000000"/>
          <w:szCs w:val="20"/>
          <w:shd w:val="clear" w:color="auto" w:fill="FFFFFF"/>
        </w:rPr>
        <w:lastRenderedPageBreak/>
        <w:t xml:space="preserve">Nařízení o nakládání s radioaktivními odpady </w:t>
      </w:r>
    </w:p>
    <w:p w:rsidR="00953034" w:rsidRDefault="00953034" w:rsidP="00170E62">
      <w:pPr>
        <w:spacing w:before="120" w:after="0"/>
        <w:ind w:firstLine="284"/>
        <w:rPr>
          <w:color w:val="000000"/>
          <w:shd w:val="clear" w:color="auto" w:fill="FFFFFF"/>
        </w:rPr>
      </w:pPr>
      <w:r>
        <w:rPr>
          <w:color w:val="000000"/>
          <w:szCs w:val="20"/>
          <w:shd w:val="clear" w:color="auto" w:fill="FFFFFF"/>
        </w:rPr>
        <w:t xml:space="preserve">Tento předpis je ve znění v 1. 4. 2012. Účelem tohoto nařízení je vytvořit systém pro sledování a kontrolu mezistátních přeprav radioaktivního odpadu a vyhořelého jaderného paliva, aby byla zajištěna odpovídající ochrana obyvatelstva. Nahrazuje tak směrnici </w:t>
      </w:r>
      <w:r w:rsidRPr="00B3786C">
        <w:rPr>
          <w:color w:val="000000"/>
          <w:shd w:val="clear" w:color="auto" w:fill="FFFFFF"/>
        </w:rPr>
        <w:t xml:space="preserve">2006/117/EURATOM </w:t>
      </w:r>
      <w:r>
        <w:rPr>
          <w:color w:val="000000"/>
          <w:shd w:val="clear" w:color="auto" w:fill="FFFFFF"/>
        </w:rPr>
        <w:t>o dozoru nad přepravou radioaktivního odpadu a vyhořelého jaderného paliva. V podstatě se jedná o implementaci do národního právního řádu.</w:t>
      </w:r>
    </w:p>
    <w:p w:rsidR="00953034" w:rsidRDefault="00953034" w:rsidP="00603FB5">
      <w:pPr>
        <w:spacing w:before="120" w:after="0"/>
        <w:ind w:firstLine="284"/>
        <w:rPr>
          <w:color w:val="000000"/>
          <w:szCs w:val="20"/>
          <w:shd w:val="clear" w:color="auto" w:fill="FFFFFF"/>
        </w:rPr>
      </w:pPr>
      <w:r w:rsidRPr="00B3786C">
        <w:rPr>
          <w:color w:val="000000"/>
          <w:shd w:val="clear" w:color="auto" w:fill="FFFFFF"/>
        </w:rPr>
        <w:t>Toto nařízení se vztahuje na mezinárodní přepravu radioaktivního odpadu a</w:t>
      </w:r>
      <w:r>
        <w:rPr>
          <w:color w:val="000000"/>
          <w:szCs w:val="20"/>
          <w:shd w:val="clear" w:color="auto" w:fill="FFFFFF"/>
        </w:rPr>
        <w:t xml:space="preserve"> vyhořelého jaderného paliva z, do nebo přes území Republiky Rakousko, pokud množství či koncentrace překročí limity dané vyhláškou o radiační ochraně. Definuje pojmy jako je vyhořelé palivo, vlastník, tranzitní země, přeprava či příslušný orgán. Každá přeprava radioaktivního odpadu či vyhořelého jaderného paliva požaduje souhlas nebo schválení příslušným orgánem. Je zde definován zákaz vývozu, který platí zejména pro státy, které nemají potřebné administrativní, právní a technické možnosti k bezpečnému odstranění těchto látek. </w:t>
      </w:r>
    </w:p>
    <w:p w:rsidR="00953034" w:rsidRPr="003C095C" w:rsidRDefault="00953034" w:rsidP="00603FB5">
      <w:pPr>
        <w:spacing w:before="120" w:after="0"/>
        <w:ind w:firstLine="284"/>
        <w:rPr>
          <w:shd w:val="clear" w:color="auto" w:fill="FFFFFF"/>
        </w:rPr>
      </w:pPr>
      <w:r>
        <w:rPr>
          <w:color w:val="000000"/>
          <w:szCs w:val="20"/>
          <w:shd w:val="clear" w:color="auto" w:fill="FFFFFF"/>
        </w:rPr>
        <w:t xml:space="preserve">Stanovuje veškeré náležitosti žádosti o přepravu, ve všech možných druzích přepravy (dovoz, vývoz a převoz přes území státu). Nicméně i přes to, je přeprava radioaktivních </w:t>
      </w:r>
      <w:r w:rsidRPr="003C095C">
        <w:rPr>
          <w:shd w:val="clear" w:color="auto" w:fill="FFFFFF"/>
        </w:rPr>
        <w:t xml:space="preserve">materiálů za účelem využití v energetice obecně zakázána dle BGBl. I Nr.149/1999. </w:t>
      </w:r>
    </w:p>
    <w:p w:rsidR="00953034" w:rsidRDefault="00953034" w:rsidP="00603FB5">
      <w:pPr>
        <w:spacing w:before="120" w:after="0"/>
        <w:ind w:firstLine="284"/>
        <w:jc w:val="left"/>
        <w:rPr>
          <w:color w:val="000000"/>
          <w:szCs w:val="20"/>
          <w:shd w:val="clear" w:color="auto" w:fill="FFFFFF"/>
        </w:rPr>
      </w:pPr>
      <w:r>
        <w:rPr>
          <w:color w:val="000000"/>
          <w:szCs w:val="20"/>
          <w:shd w:val="clear" w:color="auto" w:fill="FFFFFF"/>
        </w:rPr>
        <w:t xml:space="preserve">Zdroj: </w:t>
      </w:r>
      <w:hyperlink r:id="rId75" w:history="1">
        <w:r>
          <w:rPr>
            <w:rStyle w:val="Hypertextovodkaz"/>
          </w:rPr>
          <w:t>http://www.ris.bka.gv.at/GeltendeFassung/Bundesnormen/20006207/RAbf-VV%202009%2c%20Fassung%20vom%2001.04.2012.pdf</w:t>
        </w:r>
      </w:hyperlink>
    </w:p>
    <w:p w:rsidR="00953034" w:rsidRPr="00603FB5" w:rsidRDefault="00953034" w:rsidP="00603FB5">
      <w:pPr>
        <w:spacing w:after="0"/>
        <w:ind w:firstLine="284"/>
        <w:rPr>
          <w:color w:val="000000"/>
          <w:szCs w:val="20"/>
          <w:shd w:val="clear" w:color="auto" w:fill="FFFFFF"/>
        </w:rPr>
      </w:pPr>
      <w:r w:rsidRPr="00603FB5">
        <w:rPr>
          <w:color w:val="000000"/>
          <w:szCs w:val="20"/>
          <w:shd w:val="clear" w:color="auto" w:fill="FFFFFF"/>
        </w:rPr>
        <w:t xml:space="preserve">Soubor: </w:t>
      </w:r>
      <w:r w:rsidR="00603FB5" w:rsidRPr="00603FB5">
        <w:rPr>
          <w:color w:val="000000"/>
          <w:szCs w:val="20"/>
          <w:shd w:val="clear" w:color="auto" w:fill="FFFFFF"/>
        </w:rPr>
        <w:t>AT_2_adioaktivni_rakousko_2012.pdf</w:t>
      </w:r>
    </w:p>
    <w:p w:rsidR="00953034" w:rsidRDefault="00953034" w:rsidP="00603FB5">
      <w:pPr>
        <w:spacing w:before="240" w:after="0"/>
        <w:ind w:firstLine="0"/>
        <w:rPr>
          <w:b/>
          <w:color w:val="000000"/>
          <w:szCs w:val="20"/>
          <w:shd w:val="clear" w:color="auto" w:fill="FFFFFF"/>
        </w:rPr>
      </w:pPr>
      <w:r w:rsidRPr="00B02696">
        <w:rPr>
          <w:b/>
          <w:color w:val="000000"/>
          <w:szCs w:val="20"/>
          <w:shd w:val="clear" w:color="auto" w:fill="FFFFFF"/>
        </w:rPr>
        <w:t>Schifffahrtsgesetz (SchFG)</w:t>
      </w:r>
    </w:p>
    <w:p w:rsidR="00953034" w:rsidRDefault="00D3795E" w:rsidP="00603FB5">
      <w:pPr>
        <w:spacing w:before="120" w:after="0"/>
        <w:ind w:firstLine="284"/>
        <w:rPr>
          <w:color w:val="000000"/>
          <w:szCs w:val="20"/>
          <w:shd w:val="clear" w:color="auto" w:fill="FFFFFF"/>
        </w:rPr>
      </w:pPr>
      <w:r>
        <w:rPr>
          <w:color w:val="000000"/>
          <w:szCs w:val="20"/>
          <w:shd w:val="clear" w:color="auto" w:fill="FFFFFF"/>
        </w:rPr>
        <w:t>Přepravní zákon</w:t>
      </w:r>
      <w:r w:rsidR="00603FB5">
        <w:rPr>
          <w:color w:val="000000"/>
          <w:szCs w:val="20"/>
          <w:shd w:val="clear" w:color="auto" w:fill="FFFFFF"/>
        </w:rPr>
        <w:t xml:space="preserve"> pro lodní dopravu. </w:t>
      </w:r>
      <w:r w:rsidR="00953034">
        <w:rPr>
          <w:color w:val="000000"/>
          <w:szCs w:val="20"/>
          <w:shd w:val="clear" w:color="auto" w:fill="FFFFFF"/>
        </w:rPr>
        <w:t xml:space="preserve">Součástí tohoto zákona je §12, který se věnuje přepravě nebezpečných </w:t>
      </w:r>
      <w:r w:rsidR="00603FB5">
        <w:rPr>
          <w:color w:val="000000"/>
          <w:szCs w:val="20"/>
          <w:shd w:val="clear" w:color="auto" w:fill="FFFFFF"/>
        </w:rPr>
        <w:t>věcí</w:t>
      </w:r>
      <w:r w:rsidR="00953034">
        <w:rPr>
          <w:color w:val="000000"/>
          <w:szCs w:val="20"/>
          <w:shd w:val="clear" w:color="auto" w:fill="FFFFFF"/>
        </w:rPr>
        <w:t xml:space="preserve">. Upravuje zákazy týkající se přepravy nebezpečných věcí po vnitrozemských vodních cestách a zákazy určitých nebezpečných látek nebo zákazu plavby po některých vnitrozemských tocích. </w:t>
      </w:r>
    </w:p>
    <w:p w:rsidR="00953034" w:rsidRDefault="00953034" w:rsidP="00603FB5">
      <w:pPr>
        <w:spacing w:before="120" w:after="0"/>
        <w:ind w:firstLine="284"/>
      </w:pPr>
      <w:r>
        <w:rPr>
          <w:color w:val="000000"/>
          <w:szCs w:val="20"/>
          <w:shd w:val="clear" w:color="auto" w:fill="FFFFFF"/>
        </w:rPr>
        <w:t xml:space="preserve">Zdroj: </w:t>
      </w:r>
      <w:hyperlink r:id="rId76" w:history="1">
        <w:r>
          <w:rPr>
            <w:rStyle w:val="Hypertextovodkaz"/>
          </w:rPr>
          <w:t>http://www.jusline.at/Schifffahrtsgesetz_(SchFG)_Langversion.html</w:t>
        </w:r>
      </w:hyperlink>
    </w:p>
    <w:p w:rsidR="00603FB5" w:rsidRDefault="00603FB5" w:rsidP="00603FB5">
      <w:pPr>
        <w:spacing w:after="0"/>
        <w:ind w:firstLine="284"/>
        <w:rPr>
          <w:color w:val="000000"/>
          <w:szCs w:val="20"/>
          <w:shd w:val="clear" w:color="auto" w:fill="FFFFFF"/>
        </w:rPr>
      </w:pPr>
      <w:r>
        <w:rPr>
          <w:color w:val="000000"/>
          <w:szCs w:val="20"/>
          <w:shd w:val="clear" w:color="auto" w:fill="FFFFFF"/>
        </w:rPr>
        <w:t>Soubor:</w:t>
      </w:r>
      <w:r w:rsidRPr="00603FB5">
        <w:t xml:space="preserve"> </w:t>
      </w:r>
      <w:r w:rsidRPr="00603FB5">
        <w:rPr>
          <w:color w:val="000000"/>
          <w:szCs w:val="20"/>
          <w:shd w:val="clear" w:color="auto" w:fill="FFFFFF"/>
        </w:rPr>
        <w:t>AT_3_§ 12 SchFG</w:t>
      </w:r>
      <w:r>
        <w:rPr>
          <w:color w:val="000000"/>
          <w:szCs w:val="20"/>
          <w:shd w:val="clear" w:color="auto" w:fill="FFFFFF"/>
        </w:rPr>
        <w:t>.pdf</w:t>
      </w:r>
    </w:p>
    <w:p w:rsidR="00953034" w:rsidRPr="00A66A46" w:rsidRDefault="00953034" w:rsidP="00953034">
      <w:pPr>
        <w:pStyle w:val="Nadpis3"/>
        <w:rPr>
          <w:rFonts w:ascii="Times New Roman" w:eastAsiaTheme="majorEastAsia" w:hAnsi="Times New Roman"/>
          <w:sz w:val="28"/>
        </w:rPr>
      </w:pPr>
      <w:bookmarkStart w:id="21" w:name="_Toc326741502"/>
      <w:r w:rsidRPr="00A66A46">
        <w:rPr>
          <w:rFonts w:ascii="Times New Roman" w:eastAsiaTheme="majorEastAsia" w:hAnsi="Times New Roman"/>
          <w:sz w:val="28"/>
        </w:rPr>
        <w:t>Postupy a aplikace systému</w:t>
      </w:r>
      <w:bookmarkEnd w:id="21"/>
    </w:p>
    <w:p w:rsidR="00953034" w:rsidRDefault="00953034" w:rsidP="00E01488">
      <w:pPr>
        <w:spacing w:before="120" w:after="0"/>
        <w:ind w:firstLine="284"/>
      </w:pPr>
      <w:r>
        <w:t xml:space="preserve">V Rakousku v současné době neexistuje žádný systém pro jednotné sledování přeprav nebezpečných věcí. Dopravci mají povinnost žádat o povolení k přepravě na příslušném ministerstvu, ale zajištění vlastní přepravy je plně v jejich kompetenci. </w:t>
      </w:r>
    </w:p>
    <w:p w:rsidR="00953034" w:rsidRDefault="00953034" w:rsidP="00603FB5">
      <w:pPr>
        <w:spacing w:before="120" w:after="0"/>
        <w:ind w:firstLine="284"/>
        <w:rPr>
          <w:color w:val="000000"/>
          <w:szCs w:val="20"/>
          <w:shd w:val="clear" w:color="auto" w:fill="FFFFFF"/>
        </w:rPr>
      </w:pPr>
      <w:r>
        <w:rPr>
          <w:color w:val="000000"/>
          <w:szCs w:val="20"/>
          <w:shd w:val="clear" w:color="auto" w:fill="FFFFFF"/>
        </w:rPr>
        <w:t xml:space="preserve">V loňském roce (na podzim r. 2011) proběhl ve Vídni seminář na téma Sledování pohybu vozidel přepravující nebezpečné </w:t>
      </w:r>
      <w:r w:rsidR="00603FB5">
        <w:rPr>
          <w:color w:val="000000"/>
          <w:szCs w:val="20"/>
          <w:shd w:val="clear" w:color="auto" w:fill="FFFFFF"/>
        </w:rPr>
        <w:t>věci</w:t>
      </w:r>
      <w:r>
        <w:rPr>
          <w:color w:val="000000"/>
          <w:szCs w:val="20"/>
          <w:shd w:val="clear" w:color="auto" w:fill="FFFFFF"/>
        </w:rPr>
        <w:t xml:space="preserve">. V rámci této konference prezentovalo Spolkové ministerstvo svoje požadavky a vize funkčnosti telematického systému a zástupci některých firem představili své koncepční řešení. </w:t>
      </w:r>
    </w:p>
    <w:p w:rsidR="00953034" w:rsidRDefault="00953034" w:rsidP="00603FB5">
      <w:pPr>
        <w:spacing w:before="120" w:after="0"/>
        <w:ind w:firstLine="284"/>
      </w:pPr>
      <w:r>
        <w:t xml:space="preserve">Spolkové ministerstvo dopravy, inovací a technologií představilo několik cílů. Mezi nimi například efektivnější a bezpečnější přepravy a aplikace pro telematiku, jako je elektronická dokumentace (elektronický přepravní doklad, který by měl nahradit současný papírový), rychlé a spolehlivé informace v případě nehody, chybová hlášení (změna teploty nákladu, změna zatížení a další) či řízení dopravy místo sledování nebo zákazy v tunelech. </w:t>
      </w:r>
    </w:p>
    <w:p w:rsidR="00953034" w:rsidRDefault="00953034" w:rsidP="00603FB5">
      <w:pPr>
        <w:spacing w:before="120" w:after="0"/>
        <w:ind w:firstLine="284"/>
      </w:pPr>
      <w:r>
        <w:t xml:space="preserve">Soubor: </w:t>
      </w:r>
      <w:r w:rsidR="00603FB5" w:rsidRPr="00603FB5">
        <w:t>AT_4_GGMonitoring_BMVIT.pdf</w:t>
      </w:r>
    </w:p>
    <w:p w:rsidR="00603FB5" w:rsidRDefault="00603FB5" w:rsidP="00603FB5">
      <w:pPr>
        <w:spacing w:before="120" w:after="0"/>
        <w:ind w:firstLine="284"/>
      </w:pPr>
    </w:p>
    <w:p w:rsidR="00953034" w:rsidRPr="001B1323" w:rsidRDefault="00953034" w:rsidP="00953034">
      <w:pPr>
        <w:pStyle w:val="Nadpis4"/>
        <w:rPr>
          <w:rFonts w:ascii="Times New Roman" w:eastAsiaTheme="majorEastAsia" w:hAnsi="Times New Roman"/>
          <w:sz w:val="28"/>
          <w:szCs w:val="22"/>
        </w:rPr>
      </w:pPr>
      <w:bookmarkStart w:id="22" w:name="_Toc326741503"/>
      <w:r w:rsidRPr="001B1323">
        <w:rPr>
          <w:rFonts w:ascii="Times New Roman" w:eastAsiaTheme="majorEastAsia" w:hAnsi="Times New Roman"/>
          <w:sz w:val="28"/>
          <w:szCs w:val="22"/>
        </w:rPr>
        <w:lastRenderedPageBreak/>
        <w:t>Silniční přeprava</w:t>
      </w:r>
      <w:bookmarkEnd w:id="22"/>
    </w:p>
    <w:p w:rsidR="006A2913" w:rsidRDefault="00953034" w:rsidP="00E01488">
      <w:pPr>
        <w:spacing w:before="120" w:after="0"/>
        <w:ind w:firstLine="284"/>
      </w:pPr>
      <w:r>
        <w:t xml:space="preserve">Stejně jako v Německu platí pro silniční přepravu omezení v tunelech. Kategorizace tunelů je opět stejná, tedy A bez omezení a B – E omezení dle druhu a povahy dané nebezpečné látky. Seznam kategorizace tunelů je uveden na webových stránkách Spolkového ministerstva </w:t>
      </w:r>
      <w:r w:rsidR="006A2913">
        <w:t xml:space="preserve">dopravy, inovace a technologií </w:t>
      </w:r>
      <w:hyperlink r:id="rId77" w:history="1">
        <w:r w:rsidR="006A2913" w:rsidRPr="00596B07">
          <w:rPr>
            <w:rStyle w:val="Hypertextovodkaz"/>
          </w:rPr>
          <w:t>www.bmvit.gv.at</w:t>
        </w:r>
      </w:hyperlink>
      <w:r w:rsidR="006A2913">
        <w:t xml:space="preserve">. </w:t>
      </w:r>
    </w:p>
    <w:p w:rsidR="006A2913" w:rsidRDefault="00953034" w:rsidP="006A2913">
      <w:pPr>
        <w:spacing w:before="120" w:after="0"/>
        <w:ind w:firstLine="284"/>
        <w:rPr>
          <w:color w:val="000000"/>
          <w:szCs w:val="20"/>
          <w:shd w:val="clear" w:color="auto" w:fill="FFFFFF"/>
        </w:rPr>
      </w:pPr>
      <w:r w:rsidRPr="00803203">
        <w:t xml:space="preserve">Současná legislativní úprava Nařízení o dálnicích </w:t>
      </w:r>
      <w:r w:rsidRPr="00803203">
        <w:rPr>
          <w:color w:val="000000"/>
          <w:szCs w:val="20"/>
          <w:shd w:val="clear" w:color="auto" w:fill="FFFFFF"/>
        </w:rPr>
        <w:t xml:space="preserve">395/2001 rozlišuje </w:t>
      </w:r>
      <w:r>
        <w:rPr>
          <w:color w:val="000000"/>
          <w:szCs w:val="20"/>
          <w:shd w:val="clear" w:color="auto" w:fill="FFFFFF"/>
        </w:rPr>
        <w:t xml:space="preserve">také kategorizaci tunelů. Tyto kategorie nemají s kategorizací tunelů dle mezinárodního předpisu ADR nic společného. Jedná se o kategorii A, do které spadají tunely v délce 1000 až 5000 m a kategorii B, ve které jsou tunely delší než 5000 m. Oddělení kategorizace od sebe může mít problematické. </w:t>
      </w:r>
    </w:p>
    <w:p w:rsidR="006A2913" w:rsidRPr="006A2913" w:rsidRDefault="006A2913" w:rsidP="006A2913">
      <w:pPr>
        <w:spacing w:before="120" w:after="0"/>
        <w:ind w:firstLine="284"/>
        <w:rPr>
          <w:color w:val="000000"/>
          <w:szCs w:val="20"/>
          <w:shd w:val="clear" w:color="auto" w:fill="FFFFFF"/>
        </w:rPr>
      </w:pPr>
      <w:r w:rsidRPr="006A2913">
        <w:rPr>
          <w:color w:val="000000"/>
          <w:szCs w:val="20"/>
          <w:shd w:val="clear" w:color="auto" w:fill="FFFFFF"/>
        </w:rPr>
        <w:t>Soubor: AT_5_Tunnelregelungen.pdf</w:t>
      </w:r>
    </w:p>
    <w:p w:rsidR="00953034" w:rsidRDefault="00953034" w:rsidP="006A2913">
      <w:pPr>
        <w:spacing w:before="120" w:after="0"/>
        <w:ind w:firstLine="284"/>
        <w:rPr>
          <w:color w:val="000000"/>
          <w:szCs w:val="20"/>
          <w:shd w:val="clear" w:color="auto" w:fill="FFFFFF"/>
        </w:rPr>
      </w:pPr>
      <w:r>
        <w:rPr>
          <w:color w:val="000000"/>
          <w:szCs w:val="20"/>
          <w:shd w:val="clear" w:color="auto" w:fill="FFFFFF"/>
        </w:rPr>
        <w:t xml:space="preserve">V Rakousku platí také speciální dopravní značení, které přikazuje </w:t>
      </w:r>
      <w:r w:rsidR="006A2913">
        <w:rPr>
          <w:color w:val="000000"/>
          <w:szCs w:val="20"/>
          <w:shd w:val="clear" w:color="auto" w:fill="FFFFFF"/>
        </w:rPr>
        <w:t>směr jízdy vozidla s nebezpečnými materiály</w:t>
      </w:r>
      <w:r>
        <w:rPr>
          <w:color w:val="000000"/>
          <w:szCs w:val="20"/>
          <w:shd w:val="clear" w:color="auto" w:fill="FFFFFF"/>
        </w:rPr>
        <w:t xml:space="preserve">. </w:t>
      </w:r>
    </w:p>
    <w:p w:rsidR="00953034" w:rsidRDefault="00953034" w:rsidP="006A2913">
      <w:pPr>
        <w:spacing w:after="0"/>
        <w:ind w:firstLine="0"/>
        <w:jc w:val="center"/>
        <w:rPr>
          <w:color w:val="000000"/>
          <w:szCs w:val="20"/>
          <w:shd w:val="clear" w:color="auto" w:fill="FFFFFF"/>
        </w:rPr>
      </w:pPr>
      <w:r>
        <w:rPr>
          <w:noProof/>
          <w:color w:val="000000"/>
          <w:szCs w:val="20"/>
        </w:rPr>
        <w:drawing>
          <wp:inline distT="0" distB="0" distL="0" distR="0">
            <wp:extent cx="3143250" cy="1590675"/>
            <wp:effectExtent l="19050" t="0" r="0" b="0"/>
            <wp:docPr id="50" name="Obrázek 0" descr="transport_fahrtricht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ort_fahrtrichtung.jpg"/>
                    <pic:cNvPicPr/>
                  </pic:nvPicPr>
                  <pic:blipFill>
                    <a:blip r:embed="rId78" cstate="print"/>
                    <a:stretch>
                      <a:fillRect/>
                    </a:stretch>
                  </pic:blipFill>
                  <pic:spPr>
                    <a:xfrm>
                      <a:off x="0" y="0"/>
                      <a:ext cx="3143250" cy="1590675"/>
                    </a:xfrm>
                    <a:prstGeom prst="rect">
                      <a:avLst/>
                    </a:prstGeom>
                  </pic:spPr>
                </pic:pic>
              </a:graphicData>
            </a:graphic>
          </wp:inline>
        </w:drawing>
      </w:r>
    </w:p>
    <w:p w:rsidR="006A2913" w:rsidRPr="00B64473" w:rsidRDefault="006A2913" w:rsidP="006A2913">
      <w:pPr>
        <w:spacing w:before="120"/>
        <w:ind w:firstLine="0"/>
        <w:jc w:val="center"/>
        <w:rPr>
          <w:i/>
          <w:color w:val="000000"/>
          <w:szCs w:val="20"/>
          <w:shd w:val="clear" w:color="auto" w:fill="FFFFFF"/>
        </w:rPr>
      </w:pPr>
      <w:r w:rsidRPr="006A2913">
        <w:rPr>
          <w:i/>
          <w:color w:val="000000"/>
          <w:szCs w:val="20"/>
          <w:shd w:val="clear" w:color="auto" w:fill="FFFFFF"/>
        </w:rPr>
        <w:t>AT – Obr. 1. – Dopra</w:t>
      </w:r>
      <w:r w:rsidR="00B64473">
        <w:rPr>
          <w:i/>
          <w:color w:val="000000"/>
          <w:szCs w:val="20"/>
          <w:shd w:val="clear" w:color="auto" w:fill="FFFFFF"/>
        </w:rPr>
        <w:t xml:space="preserve">vní značky přikázaný směr jízdy, Zdroj </w:t>
      </w:r>
      <w:r w:rsidR="00B64473" w:rsidRPr="00B64473">
        <w:rPr>
          <w:i/>
          <w:color w:val="000000"/>
          <w:szCs w:val="20"/>
          <w:shd w:val="clear" w:color="auto" w:fill="FFFFFF"/>
        </w:rPr>
        <w:t>[</w:t>
      </w:r>
      <w:r w:rsidR="00B64473">
        <w:rPr>
          <w:i/>
          <w:color w:val="000000"/>
          <w:szCs w:val="20"/>
          <w:shd w:val="clear" w:color="auto" w:fill="FFFFFF"/>
        </w:rPr>
        <w:t>AT7</w:t>
      </w:r>
      <w:r w:rsidR="00B64473" w:rsidRPr="00B64473">
        <w:rPr>
          <w:i/>
          <w:color w:val="000000"/>
          <w:szCs w:val="20"/>
          <w:shd w:val="clear" w:color="auto" w:fill="FFFFFF"/>
        </w:rPr>
        <w:t>]</w:t>
      </w:r>
    </w:p>
    <w:p w:rsidR="006A2913" w:rsidRDefault="00953034" w:rsidP="006A2913">
      <w:pPr>
        <w:tabs>
          <w:tab w:val="left" w:pos="1134"/>
        </w:tabs>
        <w:spacing w:after="0"/>
        <w:ind w:firstLine="284"/>
      </w:pPr>
      <w:r>
        <w:rPr>
          <w:color w:val="000000"/>
          <w:szCs w:val="20"/>
          <w:shd w:val="clear" w:color="auto" w:fill="FFFFFF"/>
        </w:rPr>
        <w:t>Zdroje:</w:t>
      </w:r>
      <w:r w:rsidR="00652C21">
        <w:tab/>
      </w:r>
      <w:hyperlink r:id="rId79" w:history="1">
        <w:r w:rsidR="006A2913" w:rsidRPr="00596B07">
          <w:rPr>
            <w:rStyle w:val="Hypertextovodkaz"/>
            <w:szCs w:val="20"/>
            <w:shd w:val="clear" w:color="auto" w:fill="FFFFFF"/>
          </w:rPr>
          <w:t>http://www.tirol.gv.at/fileadmin/www.tirol.gv.at/themen/verkehr/verkehrsrecht/downloads/gefahrguttunnelverordnung.pdf</w:t>
        </w:r>
      </w:hyperlink>
    </w:p>
    <w:p w:rsidR="00652C21" w:rsidRDefault="00652C21" w:rsidP="006A2913">
      <w:pPr>
        <w:tabs>
          <w:tab w:val="left" w:pos="1134"/>
        </w:tabs>
        <w:spacing w:after="0"/>
        <w:ind w:firstLine="284"/>
        <w:rPr>
          <w:color w:val="000000"/>
          <w:szCs w:val="20"/>
          <w:shd w:val="clear" w:color="auto" w:fill="FFFFFF"/>
        </w:rPr>
      </w:pPr>
      <w:r>
        <w:tab/>
      </w:r>
      <w:hyperlink r:id="rId80" w:history="1">
        <w:r>
          <w:rPr>
            <w:rStyle w:val="Hypertextovodkaz"/>
          </w:rPr>
          <w:t>http://www.bmvit.gv.at/verkehr/gesamtverkehr/gefahrgut/index.html</w:t>
        </w:r>
      </w:hyperlink>
    </w:p>
    <w:p w:rsidR="006A2913" w:rsidRDefault="006A2913" w:rsidP="006A2913">
      <w:pPr>
        <w:tabs>
          <w:tab w:val="left" w:pos="1134"/>
        </w:tabs>
        <w:spacing w:after="0"/>
        <w:ind w:firstLine="284"/>
      </w:pPr>
      <w:r>
        <w:t>Soubor:</w:t>
      </w:r>
      <w:r>
        <w:tab/>
      </w:r>
      <w:r w:rsidRPr="006A2913">
        <w:t>AT_6_gefahrguttunnelverordnung</w:t>
      </w:r>
      <w:r>
        <w:t>.pdf</w:t>
      </w:r>
    </w:p>
    <w:p w:rsidR="006A2913" w:rsidRDefault="006A2913" w:rsidP="006A2913">
      <w:pPr>
        <w:tabs>
          <w:tab w:val="left" w:pos="1134"/>
        </w:tabs>
        <w:spacing w:after="0"/>
        <w:ind w:firstLine="284"/>
      </w:pPr>
      <w:r>
        <w:tab/>
      </w:r>
      <w:r w:rsidRPr="006A2913">
        <w:t xml:space="preserve">AT_7_bmvit </w:t>
      </w:r>
      <w:r>
        <w:t>–</w:t>
      </w:r>
      <w:r w:rsidRPr="006A2913">
        <w:t xml:space="preserve"> Gefahrgut</w:t>
      </w:r>
      <w:r>
        <w:t>.pdf</w:t>
      </w:r>
    </w:p>
    <w:p w:rsidR="00953034" w:rsidRPr="001B1323" w:rsidRDefault="00953034" w:rsidP="009F368A">
      <w:pPr>
        <w:spacing w:before="120" w:after="0"/>
        <w:ind w:firstLine="284"/>
      </w:pPr>
      <w:r>
        <w:t xml:space="preserve">Z daných legislativních zákonů a předpisů neplyne povinnost sledovat pohyb vozidel s nebezpečnými věcmi. I přes tuto skutečnost vznikají určité aplikace, které to umožňují. </w:t>
      </w:r>
    </w:p>
    <w:p w:rsidR="00953034" w:rsidRDefault="00953034" w:rsidP="009F368A">
      <w:pPr>
        <w:spacing w:before="120" w:after="0"/>
        <w:ind w:firstLine="284"/>
        <w:rPr>
          <w:color w:val="000000"/>
          <w:szCs w:val="20"/>
          <w:shd w:val="clear" w:color="auto" w:fill="FFFFFF"/>
        </w:rPr>
      </w:pPr>
      <w:r>
        <w:rPr>
          <w:color w:val="000000"/>
          <w:szCs w:val="20"/>
          <w:shd w:val="clear" w:color="auto" w:fill="FFFFFF"/>
        </w:rPr>
        <w:t>V podstatě jediný telematický systém, který je ve vývoji či provozu je systém monitorování pohybu nebezpečných nákladů v tunelech. Touto problematikou se zabývá řada firem a byli zkoušeny různé technologie, jak sledovat vozidlo v tunelu, kde není přímá viditelnost na družice a klasické systémy jsou tedy nepoužitelné. Nicméně otázkou sledování mimo tunely, tedy tam, kde je možnost využívat družice a GPS signál nikdo neřešil. Výjimkou je oblast Alp, kde se jedná o mezinárodní spolupráci s Německem a Itálií.</w:t>
      </w:r>
    </w:p>
    <w:p w:rsidR="00953034" w:rsidRDefault="00953034" w:rsidP="009F368A">
      <w:pPr>
        <w:spacing w:before="240"/>
        <w:ind w:firstLine="0"/>
        <w:rPr>
          <w:b/>
          <w:color w:val="000000"/>
          <w:szCs w:val="20"/>
          <w:shd w:val="clear" w:color="auto" w:fill="FFFFFF"/>
        </w:rPr>
      </w:pPr>
      <w:r w:rsidRPr="00F04B81">
        <w:rPr>
          <w:b/>
          <w:color w:val="000000"/>
          <w:szCs w:val="20"/>
          <w:shd w:val="clear" w:color="auto" w:fill="FFFFFF"/>
        </w:rPr>
        <w:t>Projekt TAG|IT</w:t>
      </w:r>
    </w:p>
    <w:p w:rsidR="00953034" w:rsidRDefault="00953034" w:rsidP="00953034">
      <w:pPr>
        <w:spacing w:after="0"/>
        <w:ind w:firstLine="284"/>
        <w:rPr>
          <w:color w:val="000000"/>
          <w:szCs w:val="20"/>
          <w:shd w:val="clear" w:color="auto" w:fill="FFFFFF"/>
        </w:rPr>
      </w:pPr>
      <w:r>
        <w:rPr>
          <w:color w:val="000000"/>
          <w:szCs w:val="20"/>
          <w:shd w:val="clear" w:color="auto" w:fill="FFFFFF"/>
        </w:rPr>
        <w:t>ASFINAG – Autobahnen- und Schnellstraßen- Finanzierungs- Aktiengesellschaft, provozovatel rakouských dálnic a rychlostních silnic, provedl v letech 2006 až 2007 studii a zahájil pilotní provoz monitorování nebezpečných matriálů pod názvem TAG</w:t>
      </w:r>
      <w:r w:rsidRPr="00471268">
        <w:rPr>
          <w:color w:val="000000"/>
          <w:szCs w:val="20"/>
          <w:shd w:val="clear" w:color="auto" w:fill="FFFFFF"/>
        </w:rPr>
        <w:t>|</w:t>
      </w:r>
      <w:r>
        <w:rPr>
          <w:color w:val="000000"/>
          <w:szCs w:val="20"/>
          <w:shd w:val="clear" w:color="auto" w:fill="FFFFFF"/>
        </w:rPr>
        <w:t>IT – Safer Transport of Hazardous Goods in Tunels. Výsledky a z</w:t>
      </w:r>
      <w:r w:rsidR="00C32466">
        <w:rPr>
          <w:color w:val="000000"/>
          <w:szCs w:val="20"/>
          <w:shd w:val="clear" w:color="auto" w:fill="FFFFFF"/>
        </w:rPr>
        <w:t>kušenosti z tohoto projektu posky</w:t>
      </w:r>
      <w:r>
        <w:rPr>
          <w:color w:val="000000"/>
          <w:szCs w:val="20"/>
          <w:shd w:val="clear" w:color="auto" w:fill="FFFFFF"/>
        </w:rPr>
        <w:t xml:space="preserve">tnou cenné informace pro další činnosti v této oblasti. </w:t>
      </w:r>
    </w:p>
    <w:p w:rsidR="00953034" w:rsidRDefault="00953034" w:rsidP="009F368A">
      <w:pPr>
        <w:spacing w:before="120" w:after="0"/>
        <w:ind w:firstLine="284"/>
        <w:rPr>
          <w:color w:val="000000"/>
          <w:szCs w:val="20"/>
          <w:shd w:val="clear" w:color="auto" w:fill="FFFFFF"/>
        </w:rPr>
      </w:pPr>
      <w:r>
        <w:rPr>
          <w:color w:val="000000"/>
          <w:szCs w:val="20"/>
          <w:shd w:val="clear" w:color="auto" w:fill="FFFFFF"/>
        </w:rPr>
        <w:t xml:space="preserve">Mezi sledované tunely patřili tunely v alpské oblasti, kde z 2100 km silnic je 300 km silnic vedeno v tunelech. Primárním cílem bylo posílení bezpečnosti tunelů prostřednictvím </w:t>
      </w:r>
      <w:r>
        <w:rPr>
          <w:color w:val="000000"/>
          <w:szCs w:val="20"/>
          <w:shd w:val="clear" w:color="auto" w:fill="FFFFFF"/>
        </w:rPr>
        <w:lastRenderedPageBreak/>
        <w:t xml:space="preserve">automatického monitorování vozidel s nebezpečným nákladem při jejich průjezdu tunelem. Přístup byl založen na heslo „jen to, co je potřeba“. Nároky na systém byli například snadná integrace do stávajících systémů ASFINAG a snahou bylo testovat systém co nejvíce v reálném provozu (tunel se značným provozem). Klíčovými hráči musí být partnery při testování – nákladní a logistické společnosti, složky záchranné služby. Základním provedením je určení přítomnosti a průjezdu vozidla s nebezpečným nákladem a stanovení informace o nákladu. Požadavkem je také rychlé předání informace záchranným složkám v případě mimořádné události. </w:t>
      </w:r>
    </w:p>
    <w:p w:rsidR="00953034" w:rsidRDefault="00953034" w:rsidP="009F368A">
      <w:pPr>
        <w:spacing w:after="0"/>
        <w:ind w:firstLine="0"/>
        <w:jc w:val="center"/>
        <w:rPr>
          <w:color w:val="000000"/>
          <w:szCs w:val="20"/>
          <w:shd w:val="clear" w:color="auto" w:fill="FFFFFF"/>
        </w:rPr>
      </w:pPr>
      <w:r>
        <w:rPr>
          <w:noProof/>
          <w:color w:val="000000"/>
          <w:szCs w:val="20"/>
          <w:shd w:val="clear" w:color="auto" w:fill="FFFFFF"/>
        </w:rPr>
        <w:drawing>
          <wp:inline distT="0" distB="0" distL="0" distR="0">
            <wp:extent cx="1847850" cy="1405255"/>
            <wp:effectExtent l="19050" t="0" r="0" b="0"/>
            <wp:docPr id="38" name="Obrázek 2" descr="tag_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_it.jpg"/>
                    <pic:cNvPicPr/>
                  </pic:nvPicPr>
                  <pic:blipFill>
                    <a:blip r:embed="rId81" cstate="print"/>
                    <a:stretch>
                      <a:fillRect/>
                    </a:stretch>
                  </pic:blipFill>
                  <pic:spPr>
                    <a:xfrm>
                      <a:off x="0" y="0"/>
                      <a:ext cx="1847850" cy="1405255"/>
                    </a:xfrm>
                    <a:prstGeom prst="rect">
                      <a:avLst/>
                    </a:prstGeom>
                  </pic:spPr>
                </pic:pic>
              </a:graphicData>
            </a:graphic>
          </wp:inline>
        </w:drawing>
      </w:r>
    </w:p>
    <w:p w:rsidR="009F368A" w:rsidRPr="009F368A" w:rsidRDefault="009F368A" w:rsidP="009F368A">
      <w:pPr>
        <w:spacing w:before="120"/>
        <w:ind w:firstLine="0"/>
        <w:jc w:val="center"/>
        <w:rPr>
          <w:i/>
          <w:color w:val="000000"/>
          <w:szCs w:val="20"/>
          <w:shd w:val="clear" w:color="auto" w:fill="FFFFFF"/>
        </w:rPr>
      </w:pPr>
      <w:r w:rsidRPr="009F368A">
        <w:rPr>
          <w:i/>
          <w:color w:val="000000"/>
          <w:szCs w:val="20"/>
          <w:shd w:val="clear" w:color="auto" w:fill="FFFFFF"/>
        </w:rPr>
        <w:t>AT – Obr. 2. Technologie</w:t>
      </w:r>
      <w:r w:rsidR="00C32466">
        <w:rPr>
          <w:i/>
          <w:color w:val="000000"/>
          <w:szCs w:val="20"/>
          <w:shd w:val="clear" w:color="auto" w:fill="FFFFFF"/>
        </w:rPr>
        <w:t xml:space="preserve">, Zdroj </w:t>
      </w:r>
      <w:r w:rsidR="00C32466" w:rsidRPr="00B64473">
        <w:rPr>
          <w:i/>
          <w:color w:val="000000"/>
          <w:szCs w:val="20"/>
          <w:shd w:val="clear" w:color="auto" w:fill="FFFFFF"/>
        </w:rPr>
        <w:t>[</w:t>
      </w:r>
      <w:r w:rsidR="00C32466">
        <w:rPr>
          <w:i/>
          <w:color w:val="000000"/>
          <w:szCs w:val="20"/>
          <w:shd w:val="clear" w:color="auto" w:fill="FFFFFF"/>
        </w:rPr>
        <w:t>AT8</w:t>
      </w:r>
      <w:r w:rsidR="00C32466" w:rsidRPr="00B64473">
        <w:rPr>
          <w:i/>
          <w:color w:val="000000"/>
          <w:szCs w:val="20"/>
          <w:shd w:val="clear" w:color="auto" w:fill="FFFFFF"/>
        </w:rPr>
        <w:t>]</w:t>
      </w:r>
    </w:p>
    <w:p w:rsidR="009F368A" w:rsidRDefault="00953034" w:rsidP="009F368A">
      <w:pPr>
        <w:spacing w:after="0"/>
        <w:ind w:firstLine="284"/>
        <w:rPr>
          <w:color w:val="000000"/>
          <w:szCs w:val="20"/>
          <w:shd w:val="clear" w:color="auto" w:fill="FFFFFF"/>
        </w:rPr>
      </w:pPr>
      <w:r>
        <w:rPr>
          <w:color w:val="000000"/>
          <w:szCs w:val="20"/>
          <w:shd w:val="clear" w:color="auto" w:fill="FFFFFF"/>
        </w:rPr>
        <w:t xml:space="preserve">Studie proveditelnosti se sestává z možných technologií, návrhu systému, právních aspektů, zpětné vazby od klíčových hráčů, a dalších parametrů. </w:t>
      </w:r>
    </w:p>
    <w:p w:rsidR="00953034" w:rsidRPr="008442F2" w:rsidRDefault="00953034" w:rsidP="009F368A">
      <w:pPr>
        <w:spacing w:before="120" w:after="0"/>
        <w:ind w:firstLine="284"/>
        <w:rPr>
          <w:sz w:val="18"/>
          <w:szCs w:val="20"/>
          <w:shd w:val="clear" w:color="auto" w:fill="FFFFFF"/>
        </w:rPr>
      </w:pPr>
      <w:r>
        <w:rPr>
          <w:color w:val="000000"/>
          <w:szCs w:val="20"/>
          <w:shd w:val="clear" w:color="auto" w:fill="FFFFFF"/>
        </w:rPr>
        <w:t xml:space="preserve">U návrhu systému byla zásadní především otázka použitých jednotek – interaktivní x OBU jednotky, údaje v OBU jednotkách x externí server a jiné. Testovanými technologie byli DRSC a RFID. Tunelem, ve kterém probíhalo testování byl tunel A2 </w:t>
      </w:r>
      <w:r w:rsidRPr="008442F2">
        <w:rPr>
          <w:szCs w:val="36"/>
        </w:rPr>
        <w:t xml:space="preserve">Gräberntunnel </w:t>
      </w:r>
      <w:r>
        <w:rPr>
          <w:szCs w:val="36"/>
        </w:rPr>
        <w:t xml:space="preserve">s celkovou délkou 2144 m. </w:t>
      </w:r>
    </w:p>
    <w:p w:rsidR="00953034" w:rsidRDefault="00953034" w:rsidP="00953034">
      <w:pPr>
        <w:spacing w:after="0"/>
        <w:rPr>
          <w:color w:val="000000"/>
          <w:szCs w:val="20"/>
          <w:shd w:val="clear" w:color="auto" w:fill="FFFFFF"/>
        </w:rPr>
      </w:pPr>
    </w:p>
    <w:p w:rsidR="00953034" w:rsidRDefault="00953034" w:rsidP="009F368A">
      <w:pPr>
        <w:spacing w:after="0"/>
        <w:ind w:firstLine="0"/>
        <w:jc w:val="center"/>
        <w:rPr>
          <w:color w:val="000000"/>
          <w:szCs w:val="20"/>
          <w:shd w:val="clear" w:color="auto" w:fill="FFFFFF"/>
        </w:rPr>
      </w:pPr>
      <w:r>
        <w:rPr>
          <w:noProof/>
          <w:color w:val="000000"/>
          <w:szCs w:val="20"/>
          <w:shd w:val="clear" w:color="auto" w:fill="FFFFFF"/>
        </w:rPr>
        <w:drawing>
          <wp:inline distT="0" distB="0" distL="0" distR="0">
            <wp:extent cx="5796756" cy="2962275"/>
            <wp:effectExtent l="19050" t="0" r="0" b="0"/>
            <wp:docPr id="39" name="Obrázek 4" descr="techn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chnologie.jpg"/>
                    <pic:cNvPicPr/>
                  </pic:nvPicPr>
                  <pic:blipFill>
                    <a:blip r:embed="rId82" cstate="print"/>
                    <a:stretch>
                      <a:fillRect/>
                    </a:stretch>
                  </pic:blipFill>
                  <pic:spPr>
                    <a:xfrm>
                      <a:off x="0" y="0"/>
                      <a:ext cx="5804668" cy="2966318"/>
                    </a:xfrm>
                    <a:prstGeom prst="rect">
                      <a:avLst/>
                    </a:prstGeom>
                  </pic:spPr>
                </pic:pic>
              </a:graphicData>
            </a:graphic>
          </wp:inline>
        </w:drawing>
      </w:r>
    </w:p>
    <w:p w:rsidR="009F368A" w:rsidRPr="009F368A" w:rsidRDefault="009F368A" w:rsidP="009F368A">
      <w:pPr>
        <w:spacing w:before="120"/>
        <w:ind w:firstLine="0"/>
        <w:jc w:val="center"/>
        <w:rPr>
          <w:i/>
          <w:color w:val="000000"/>
          <w:szCs w:val="20"/>
          <w:shd w:val="clear" w:color="auto" w:fill="FFFFFF"/>
        </w:rPr>
      </w:pPr>
      <w:r w:rsidRPr="009F368A">
        <w:rPr>
          <w:i/>
          <w:color w:val="000000"/>
          <w:szCs w:val="20"/>
          <w:shd w:val="clear" w:color="auto" w:fill="FFFFFF"/>
        </w:rPr>
        <w:t>AT – Obr. 3. – Testování technologií v</w:t>
      </w:r>
      <w:r w:rsidR="00C32466">
        <w:rPr>
          <w:i/>
          <w:color w:val="000000"/>
          <w:szCs w:val="20"/>
          <w:shd w:val="clear" w:color="auto" w:fill="FFFFFF"/>
        </w:rPr>
        <w:t> </w:t>
      </w:r>
      <w:r w:rsidRPr="009F368A">
        <w:rPr>
          <w:i/>
          <w:color w:val="000000"/>
          <w:szCs w:val="20"/>
          <w:shd w:val="clear" w:color="auto" w:fill="FFFFFF"/>
        </w:rPr>
        <w:t>tunelu</w:t>
      </w:r>
      <w:r w:rsidR="00C32466">
        <w:rPr>
          <w:i/>
          <w:color w:val="000000"/>
          <w:szCs w:val="20"/>
          <w:shd w:val="clear" w:color="auto" w:fill="FFFFFF"/>
        </w:rPr>
        <w:t xml:space="preserve">, Zdroj </w:t>
      </w:r>
      <w:r w:rsidR="00C32466" w:rsidRPr="00B64473">
        <w:rPr>
          <w:i/>
          <w:color w:val="000000"/>
          <w:szCs w:val="20"/>
          <w:shd w:val="clear" w:color="auto" w:fill="FFFFFF"/>
        </w:rPr>
        <w:t>[</w:t>
      </w:r>
      <w:r w:rsidR="00C32466">
        <w:rPr>
          <w:i/>
          <w:color w:val="000000"/>
          <w:szCs w:val="20"/>
          <w:shd w:val="clear" w:color="auto" w:fill="FFFFFF"/>
        </w:rPr>
        <w:t>AT8</w:t>
      </w:r>
      <w:r w:rsidR="00C32466" w:rsidRPr="00B64473">
        <w:rPr>
          <w:i/>
          <w:color w:val="000000"/>
          <w:szCs w:val="20"/>
          <w:shd w:val="clear" w:color="auto" w:fill="FFFFFF"/>
        </w:rPr>
        <w:t>]</w:t>
      </w:r>
    </w:p>
    <w:p w:rsidR="005E24F0" w:rsidRDefault="00953034" w:rsidP="005E24F0">
      <w:pPr>
        <w:spacing w:after="0"/>
        <w:ind w:firstLine="0"/>
        <w:jc w:val="center"/>
        <w:rPr>
          <w:color w:val="000000"/>
          <w:szCs w:val="20"/>
          <w:shd w:val="clear" w:color="auto" w:fill="FFFFFF"/>
        </w:rPr>
      </w:pPr>
      <w:r>
        <w:rPr>
          <w:noProof/>
          <w:color w:val="000000"/>
          <w:szCs w:val="20"/>
        </w:rPr>
        <w:lastRenderedPageBreak/>
        <w:drawing>
          <wp:inline distT="0" distB="0" distL="0" distR="0">
            <wp:extent cx="5362575" cy="3400425"/>
            <wp:effectExtent l="19050" t="0" r="9525" b="0"/>
            <wp:docPr id="40" name="Obrázek 5" descr="struk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ktura.jpg"/>
                    <pic:cNvPicPr/>
                  </pic:nvPicPr>
                  <pic:blipFill>
                    <a:blip r:embed="rId83" cstate="print"/>
                    <a:stretch>
                      <a:fillRect/>
                    </a:stretch>
                  </pic:blipFill>
                  <pic:spPr>
                    <a:xfrm>
                      <a:off x="0" y="0"/>
                      <a:ext cx="5362575" cy="3400425"/>
                    </a:xfrm>
                    <a:prstGeom prst="rect">
                      <a:avLst/>
                    </a:prstGeom>
                  </pic:spPr>
                </pic:pic>
              </a:graphicData>
            </a:graphic>
          </wp:inline>
        </w:drawing>
      </w:r>
    </w:p>
    <w:p w:rsidR="005E24F0" w:rsidRPr="005E24F0" w:rsidRDefault="005E24F0" w:rsidP="005E24F0">
      <w:pPr>
        <w:spacing w:before="120"/>
        <w:ind w:firstLine="0"/>
        <w:jc w:val="center"/>
        <w:rPr>
          <w:i/>
          <w:color w:val="000000"/>
          <w:szCs w:val="20"/>
          <w:shd w:val="clear" w:color="auto" w:fill="FFFFFF"/>
        </w:rPr>
      </w:pPr>
      <w:r w:rsidRPr="005E24F0">
        <w:rPr>
          <w:i/>
          <w:color w:val="000000"/>
          <w:szCs w:val="20"/>
          <w:shd w:val="clear" w:color="auto" w:fill="FFFFFF"/>
        </w:rPr>
        <w:t>AT – Obr. 3. – Schéma testu</w:t>
      </w:r>
      <w:r w:rsidR="00C32466">
        <w:rPr>
          <w:i/>
          <w:color w:val="000000"/>
          <w:szCs w:val="20"/>
          <w:shd w:val="clear" w:color="auto" w:fill="FFFFFF"/>
        </w:rPr>
        <w:t xml:space="preserve">, Zdroj </w:t>
      </w:r>
      <w:r w:rsidR="00C32466" w:rsidRPr="00B64473">
        <w:rPr>
          <w:i/>
          <w:color w:val="000000"/>
          <w:szCs w:val="20"/>
          <w:shd w:val="clear" w:color="auto" w:fill="FFFFFF"/>
        </w:rPr>
        <w:t>[</w:t>
      </w:r>
      <w:r w:rsidR="00C32466">
        <w:rPr>
          <w:i/>
          <w:color w:val="000000"/>
          <w:szCs w:val="20"/>
          <w:shd w:val="clear" w:color="auto" w:fill="FFFFFF"/>
        </w:rPr>
        <w:t>AT8</w:t>
      </w:r>
      <w:r w:rsidR="00C32466" w:rsidRPr="00B64473">
        <w:rPr>
          <w:i/>
          <w:color w:val="000000"/>
          <w:szCs w:val="20"/>
          <w:shd w:val="clear" w:color="auto" w:fill="FFFFFF"/>
        </w:rPr>
        <w:t>]</w:t>
      </w:r>
    </w:p>
    <w:p w:rsidR="00953034" w:rsidRDefault="00953034" w:rsidP="005E24F0">
      <w:pPr>
        <w:spacing w:after="0"/>
        <w:ind w:firstLine="0"/>
        <w:rPr>
          <w:color w:val="000000"/>
          <w:szCs w:val="20"/>
          <w:shd w:val="clear" w:color="auto" w:fill="FFFFFF"/>
        </w:rPr>
      </w:pPr>
      <w:r>
        <w:rPr>
          <w:color w:val="000000"/>
          <w:szCs w:val="20"/>
          <w:shd w:val="clear" w:color="auto" w:fill="FFFFFF"/>
        </w:rPr>
        <w:t xml:space="preserve">Cílem bylo zkoumat proveditelnost dané technologie, adekvátní výběr konstrukce systému a v neposlední řadě také přijetí partnerů projektů dané technologie. </w:t>
      </w:r>
    </w:p>
    <w:p w:rsidR="00953034" w:rsidRPr="00203AEB" w:rsidRDefault="00953034" w:rsidP="005E24F0">
      <w:pPr>
        <w:spacing w:before="240"/>
        <w:ind w:firstLine="0"/>
        <w:rPr>
          <w:color w:val="000000"/>
          <w:szCs w:val="20"/>
          <w:u w:val="single"/>
          <w:shd w:val="clear" w:color="auto" w:fill="FFFFFF"/>
        </w:rPr>
      </w:pPr>
      <w:r w:rsidRPr="00203AEB">
        <w:rPr>
          <w:color w:val="000000"/>
          <w:szCs w:val="20"/>
          <w:u w:val="single"/>
          <w:shd w:val="clear" w:color="auto" w:fill="FFFFFF"/>
        </w:rPr>
        <w:t>Výsledky testu jsou následující:</w:t>
      </w:r>
    </w:p>
    <w:p w:rsidR="00953034" w:rsidRDefault="00953034" w:rsidP="00953034">
      <w:pPr>
        <w:spacing w:after="0"/>
        <w:ind w:firstLine="284"/>
        <w:rPr>
          <w:color w:val="000000"/>
          <w:szCs w:val="20"/>
          <w:shd w:val="clear" w:color="auto" w:fill="FFFFFF"/>
        </w:rPr>
      </w:pPr>
      <w:r>
        <w:rPr>
          <w:color w:val="000000"/>
          <w:szCs w:val="20"/>
          <w:shd w:val="clear" w:color="auto" w:fill="FFFFFF"/>
        </w:rPr>
        <w:t xml:space="preserve">Technické aspekty – obě komunikační spojení pracovali po počátečních výpadcích stejně, z hlediska počtu zaznamenaných průjezdů byli srovnávány se systémem CEN DSRC, který zaznamenal 422 průjezdů, RFID 414 což je 98,1% a druhá technologie DSRC jen 354 průjezdů, což činí 83,9%. Při dalších testování druhého zařízení RFID byl výsledek 99,1%. </w:t>
      </w:r>
    </w:p>
    <w:p w:rsidR="00953034" w:rsidRDefault="00953034" w:rsidP="005E24F0">
      <w:pPr>
        <w:spacing w:before="120" w:after="0"/>
        <w:ind w:firstLine="284"/>
        <w:rPr>
          <w:color w:val="000000"/>
          <w:szCs w:val="20"/>
          <w:shd w:val="clear" w:color="auto" w:fill="FFFFFF"/>
        </w:rPr>
      </w:pPr>
      <w:r>
        <w:rPr>
          <w:color w:val="000000"/>
          <w:szCs w:val="20"/>
          <w:shd w:val="clear" w:color="auto" w:fill="FFFFFF"/>
        </w:rPr>
        <w:t>Nicméně systém jako je právě TAG</w:t>
      </w:r>
      <w:r w:rsidRPr="00471268">
        <w:rPr>
          <w:color w:val="000000"/>
          <w:szCs w:val="20"/>
          <w:shd w:val="clear" w:color="auto" w:fill="FFFFFF"/>
        </w:rPr>
        <w:t>|</w:t>
      </w:r>
      <w:r>
        <w:rPr>
          <w:color w:val="000000"/>
          <w:szCs w:val="20"/>
          <w:shd w:val="clear" w:color="auto" w:fill="FFFFFF"/>
        </w:rPr>
        <w:t xml:space="preserve">IT potřebuje právní rámec, nebo musí mít umožněno zjednodušení zařazení do národních zákonů. Zadávání dat musí být jednodušší pro nákladní a logistické společnosti. Mělo by být otevřené rozhraní na straně serveru (API) a webový server by měl sloužit pouze jako záloha. </w:t>
      </w:r>
    </w:p>
    <w:p w:rsidR="00953034" w:rsidRDefault="00953034" w:rsidP="005E24F0">
      <w:pPr>
        <w:spacing w:before="120" w:after="0"/>
        <w:ind w:firstLine="284"/>
      </w:pPr>
      <w:r>
        <w:t xml:space="preserve">Závěry pro monitorování nebezpečných jsou shrnuty do těchto požadavků: klíčem je poskytování údajů, automatizované data z přepravy nebezpečných věcí je otázkou budoucnosti, technologie není důležitá, je důležitá dobře definovaná struktura a standardizované řízení, standardizace je nutná stejně jako právní standardizace nebezpečných materiálů. </w:t>
      </w:r>
    </w:p>
    <w:p w:rsidR="00953034" w:rsidRPr="00C32448" w:rsidRDefault="00953034" w:rsidP="005E24F0">
      <w:pPr>
        <w:spacing w:before="120" w:after="0"/>
        <w:ind w:firstLine="284"/>
      </w:pPr>
      <w:r w:rsidRPr="00C32448">
        <w:t>Zdroj:</w:t>
      </w:r>
      <w:hyperlink r:id="rId84" w:history="1">
        <w:r w:rsidRPr="00C32448">
          <w:rPr>
            <w:rStyle w:val="Hypertextovodkaz"/>
          </w:rPr>
          <w:t>http://www.lkzprien.de/files/SECCOH_workshop_Muenchen/090925_Praesentation_Meckel.pdf</w:t>
        </w:r>
      </w:hyperlink>
    </w:p>
    <w:p w:rsidR="00953034" w:rsidRDefault="00953034" w:rsidP="005E24F0">
      <w:pPr>
        <w:spacing w:after="0"/>
        <w:ind w:firstLine="284"/>
      </w:pPr>
      <w:r w:rsidRPr="00C32448">
        <w:t xml:space="preserve">Soubor: </w:t>
      </w:r>
      <w:r w:rsidR="00C32448" w:rsidRPr="00C32448">
        <w:t>AT_8_Praesentation_Meckel.pdf</w:t>
      </w:r>
    </w:p>
    <w:p w:rsidR="00C32448" w:rsidRDefault="00C32448">
      <w:pPr>
        <w:spacing w:after="0"/>
        <w:ind w:firstLine="0"/>
        <w:jc w:val="left"/>
      </w:pPr>
      <w:r>
        <w:br w:type="page"/>
      </w:r>
    </w:p>
    <w:p w:rsidR="00C32448" w:rsidRDefault="00953034" w:rsidP="00953034">
      <w:pPr>
        <w:spacing w:before="120" w:after="0"/>
        <w:ind w:firstLine="284"/>
        <w:rPr>
          <w:color w:val="222222"/>
          <w:shd w:val="clear" w:color="auto" w:fill="FFFFFF"/>
        </w:rPr>
      </w:pPr>
      <w:r w:rsidRPr="00CA4FB0">
        <w:lastRenderedPageBreak/>
        <w:t xml:space="preserve">Dalším projektem zabývajícím se otázkou monitorování pohybu vozidel s nebezpečnými látkami je projekt SHAFT - </w:t>
      </w:r>
      <w:r w:rsidRPr="00CA4FB0">
        <w:rPr>
          <w:color w:val="222222"/>
          <w:shd w:val="clear" w:color="auto" w:fill="FFFFFF"/>
        </w:rPr>
        <w:t xml:space="preserve">Standardized Hazardous Goods Transport Alerting Field Trail. </w:t>
      </w:r>
      <w:r>
        <w:rPr>
          <w:color w:val="222222"/>
          <w:shd w:val="clear" w:color="auto" w:fill="FFFFFF"/>
        </w:rPr>
        <w:t>Projekt byl financován Ministerstvem dopravy a v</w:t>
      </w:r>
      <w:r w:rsidRPr="00CA4FB0">
        <w:rPr>
          <w:color w:val="222222"/>
          <w:shd w:val="clear" w:color="auto" w:fill="FFFFFF"/>
        </w:rPr>
        <w:t>ývoj prototypu začal v </w:t>
      </w:r>
      <w:r w:rsidRPr="00CA4FB0">
        <w:rPr>
          <w:shd w:val="clear" w:color="auto" w:fill="FFFFFF"/>
        </w:rPr>
        <w:t>roce 2005</w:t>
      </w:r>
      <w:r w:rsidRPr="00CA4FB0">
        <w:rPr>
          <w:color w:val="222222"/>
          <w:shd w:val="clear" w:color="auto" w:fill="FFFFFF"/>
        </w:rPr>
        <w:t xml:space="preserve"> a skončil o rok později</w:t>
      </w:r>
      <w:r>
        <w:rPr>
          <w:color w:val="222222"/>
          <w:shd w:val="clear" w:color="auto" w:fill="FFFFFF"/>
        </w:rPr>
        <w:t xml:space="preserve">. </w:t>
      </w:r>
    </w:p>
    <w:p w:rsidR="00953034" w:rsidRDefault="00953034" w:rsidP="00953034">
      <w:pPr>
        <w:spacing w:before="120" w:after="0"/>
        <w:ind w:firstLine="284"/>
        <w:rPr>
          <w:color w:val="222222"/>
          <w:shd w:val="clear" w:color="auto" w:fill="FFFFFF"/>
        </w:rPr>
      </w:pPr>
      <w:r>
        <w:rPr>
          <w:color w:val="222222"/>
          <w:shd w:val="clear" w:color="auto" w:fill="FFFFFF"/>
        </w:rPr>
        <w:t>Architektura systému je následující – ve voze se nachází palubní jednotka, tunely jsou vybaveny řídícími jednotkami a centralizovaná databáze nebezpečných věcí shromažďuje všechny relevantní data a informace o každé</w:t>
      </w:r>
      <w:r w:rsidRPr="00CA4FB0">
        <w:rPr>
          <w:color w:val="222222"/>
          <w:shd w:val="clear" w:color="auto" w:fill="FFFFFF"/>
        </w:rPr>
        <w:t xml:space="preserve">. </w:t>
      </w:r>
      <w:r>
        <w:rPr>
          <w:color w:val="222222"/>
          <w:shd w:val="clear" w:color="auto" w:fill="FFFFFF"/>
        </w:rPr>
        <w:t>přepravě nebezpečného zboží. Vyhodnotí jejich rizikový potenciál a sleduje jejich polohu na cestě. Technický koncept je vidět na následujícím obrázku</w:t>
      </w:r>
      <w:r w:rsidR="00C32448">
        <w:rPr>
          <w:color w:val="222222"/>
          <w:shd w:val="clear" w:color="auto" w:fill="FFFFFF"/>
        </w:rPr>
        <w:t xml:space="preserve"> </w:t>
      </w:r>
      <w:r w:rsidR="00C32448" w:rsidRPr="00C32448">
        <w:rPr>
          <w:i/>
        </w:rPr>
        <w:t>AT – Obr. 4. – Projekt SHAFT</w:t>
      </w:r>
      <w:r>
        <w:rPr>
          <w:color w:val="222222"/>
          <w:shd w:val="clear" w:color="auto" w:fill="FFFFFF"/>
        </w:rPr>
        <w:t xml:space="preserve">. </w:t>
      </w:r>
    </w:p>
    <w:p w:rsidR="00953034" w:rsidRDefault="00953034" w:rsidP="00C32448">
      <w:pPr>
        <w:spacing w:after="0"/>
        <w:ind w:firstLine="0"/>
        <w:jc w:val="center"/>
      </w:pPr>
      <w:r>
        <w:rPr>
          <w:noProof/>
        </w:rPr>
        <w:drawing>
          <wp:inline distT="0" distB="0" distL="0" distR="0">
            <wp:extent cx="3409950" cy="3057525"/>
            <wp:effectExtent l="19050" t="0" r="0" b="0"/>
            <wp:docPr id="42" name="Obrázek 8" descr="sha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ft.jpg"/>
                    <pic:cNvPicPr/>
                  </pic:nvPicPr>
                  <pic:blipFill>
                    <a:blip r:embed="rId85" cstate="print"/>
                    <a:stretch>
                      <a:fillRect/>
                    </a:stretch>
                  </pic:blipFill>
                  <pic:spPr>
                    <a:xfrm>
                      <a:off x="0" y="0"/>
                      <a:ext cx="3409950" cy="3057525"/>
                    </a:xfrm>
                    <a:prstGeom prst="rect">
                      <a:avLst/>
                    </a:prstGeom>
                  </pic:spPr>
                </pic:pic>
              </a:graphicData>
            </a:graphic>
          </wp:inline>
        </w:drawing>
      </w:r>
    </w:p>
    <w:p w:rsidR="00953034" w:rsidRPr="00C32448" w:rsidRDefault="00C32448" w:rsidP="00C32448">
      <w:pPr>
        <w:spacing w:before="120"/>
        <w:ind w:firstLine="0"/>
        <w:jc w:val="center"/>
        <w:rPr>
          <w:i/>
        </w:rPr>
      </w:pPr>
      <w:r w:rsidRPr="00C32448">
        <w:rPr>
          <w:i/>
        </w:rPr>
        <w:t>AT – Obr. 4. – Projekt SHAFT</w:t>
      </w:r>
      <w:r w:rsidR="00C32466">
        <w:rPr>
          <w:i/>
        </w:rPr>
        <w:t xml:space="preserve">, </w:t>
      </w:r>
      <w:r w:rsidR="00C32466">
        <w:rPr>
          <w:i/>
          <w:color w:val="000000"/>
          <w:szCs w:val="20"/>
          <w:shd w:val="clear" w:color="auto" w:fill="FFFFFF"/>
        </w:rPr>
        <w:t xml:space="preserve">Zdroj </w:t>
      </w:r>
      <w:r w:rsidR="00C32466" w:rsidRPr="00B64473">
        <w:rPr>
          <w:i/>
          <w:color w:val="000000"/>
          <w:szCs w:val="20"/>
          <w:shd w:val="clear" w:color="auto" w:fill="FFFFFF"/>
        </w:rPr>
        <w:t>[</w:t>
      </w:r>
      <w:r w:rsidR="00C32466">
        <w:rPr>
          <w:i/>
          <w:color w:val="000000"/>
          <w:szCs w:val="20"/>
          <w:shd w:val="clear" w:color="auto" w:fill="FFFFFF"/>
        </w:rPr>
        <w:t>AT</w:t>
      </w:r>
      <w:r w:rsidR="00BD519C">
        <w:rPr>
          <w:i/>
          <w:color w:val="000000"/>
          <w:szCs w:val="20"/>
          <w:shd w:val="clear" w:color="auto" w:fill="FFFFFF"/>
        </w:rPr>
        <w:t>9</w:t>
      </w:r>
      <w:r w:rsidR="00C32466" w:rsidRPr="00B64473">
        <w:rPr>
          <w:i/>
          <w:color w:val="000000"/>
          <w:szCs w:val="20"/>
          <w:shd w:val="clear" w:color="auto" w:fill="FFFFFF"/>
        </w:rPr>
        <w:t>]</w:t>
      </w:r>
    </w:p>
    <w:p w:rsidR="00953034" w:rsidRDefault="00953034" w:rsidP="00C32448">
      <w:pPr>
        <w:spacing w:after="0"/>
        <w:ind w:firstLine="284"/>
      </w:pPr>
      <w:r>
        <w:t>Zdroj:</w:t>
      </w:r>
      <w:hyperlink r:id="rId86" w:history="1">
        <w:r>
          <w:rPr>
            <w:rStyle w:val="Hypertextovodkaz"/>
          </w:rPr>
          <w:t>http://trid.trb.org/view.aspx?id=862577</w:t>
        </w:r>
      </w:hyperlink>
    </w:p>
    <w:p w:rsidR="00953034" w:rsidRDefault="00953034" w:rsidP="00C32448">
      <w:pPr>
        <w:tabs>
          <w:tab w:val="left" w:pos="1134"/>
        </w:tabs>
        <w:spacing w:after="0"/>
        <w:ind w:firstLine="284"/>
      </w:pPr>
      <w:r w:rsidRPr="008E121F">
        <w:t>Soubor</w:t>
      </w:r>
      <w:r w:rsidR="00C32448">
        <w:t>:</w:t>
      </w:r>
      <w:r w:rsidR="00C32448">
        <w:tab/>
        <w:t>AT_09_SHAFT</w:t>
      </w:r>
      <w:r w:rsidR="00C32448" w:rsidRPr="00C32448">
        <w:t>.pdf</w:t>
      </w:r>
    </w:p>
    <w:p w:rsidR="00953034" w:rsidRDefault="00953034" w:rsidP="00953034">
      <w:pPr>
        <w:spacing w:before="120" w:after="0"/>
        <w:ind w:firstLine="284"/>
      </w:pPr>
      <w:r>
        <w:t xml:space="preserve">V rámci zpracované studie logistických systémů GOOD ROUTE je část věnována i problematice monitorování nebezpečných nákladů. Projekt si klade za cíl vytvořit systém spolupráce pro vozidla s nebezpečným nákladem – sledování, směrování a přesměrování v případě potřeby. Systém bude fungovat v reálném čase a bude využívat a kombinovat nejnovější pokroky v komunikaci mezi vozidly navzájem, v komunikaci mezi vozidly a infrastrukturou, družicových navigačních technologií, optimalizaci, programech řešení konfliktů či dynamických systémů sběr dat, které budou integrovány do jednoho systému. Očekávaným výstupem poté bude systém s minimálním rizikem naváděcího systému pro vozidla přepravující nebezpečné látky. Kontrolní centrum s algoritmem, který dohlíží na pohyb nebezpečných nákladů v určité zeměpisné oblasti. Palubní automatické načítání dat a systémy pro ukládání dat, sledování klíčových parametrů vozidla s nebezpečným zbožím. </w:t>
      </w:r>
    </w:p>
    <w:p w:rsidR="00953034" w:rsidRDefault="00953034" w:rsidP="004876E8">
      <w:pPr>
        <w:spacing w:before="120" w:after="0"/>
        <w:ind w:firstLine="284"/>
      </w:pPr>
      <w:r>
        <w:t xml:space="preserve">Systém vyvinutý v rámci projektu EMOGES nabízí vztahy mezi shromažďováním a správou dat probíhajících přeprav nebezpečných materiálů. </w:t>
      </w:r>
    </w:p>
    <w:p w:rsidR="004876E8" w:rsidRDefault="004876E8" w:rsidP="004876E8">
      <w:pPr>
        <w:spacing w:before="120" w:after="0"/>
        <w:ind w:firstLine="0"/>
        <w:jc w:val="center"/>
      </w:pPr>
      <w:r w:rsidRPr="004876E8">
        <w:rPr>
          <w:noProof/>
        </w:rPr>
        <w:lastRenderedPageBreak/>
        <w:drawing>
          <wp:inline distT="0" distB="0" distL="0" distR="0">
            <wp:extent cx="4894580" cy="3152775"/>
            <wp:effectExtent l="19050" t="0" r="1270" b="0"/>
            <wp:docPr id="37" name="Obrázek 3" descr="emo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oges.jpg"/>
                    <pic:cNvPicPr/>
                  </pic:nvPicPr>
                  <pic:blipFill>
                    <a:blip r:embed="rId87" cstate="print"/>
                    <a:stretch>
                      <a:fillRect/>
                    </a:stretch>
                  </pic:blipFill>
                  <pic:spPr>
                    <a:xfrm>
                      <a:off x="0" y="0"/>
                      <a:ext cx="4894580" cy="3152775"/>
                    </a:xfrm>
                    <a:prstGeom prst="rect">
                      <a:avLst/>
                    </a:prstGeom>
                  </pic:spPr>
                </pic:pic>
              </a:graphicData>
            </a:graphic>
          </wp:inline>
        </w:drawing>
      </w:r>
    </w:p>
    <w:p w:rsidR="004876E8" w:rsidRPr="00A314DA" w:rsidRDefault="00A314DA" w:rsidP="00A314DA">
      <w:pPr>
        <w:spacing w:before="120"/>
        <w:ind w:firstLine="284"/>
        <w:jc w:val="center"/>
        <w:rPr>
          <w:i/>
        </w:rPr>
      </w:pPr>
      <w:r w:rsidRPr="00A314DA">
        <w:rPr>
          <w:i/>
        </w:rPr>
        <w:t>AT – Obr. 5. – Systém sledování v</w:t>
      </w:r>
      <w:r w:rsidR="00C32466">
        <w:rPr>
          <w:i/>
        </w:rPr>
        <w:t> </w:t>
      </w:r>
      <w:r w:rsidRPr="00A314DA">
        <w:rPr>
          <w:i/>
        </w:rPr>
        <w:t>tunelu</w:t>
      </w:r>
      <w:r w:rsidR="00C32466">
        <w:rPr>
          <w:i/>
        </w:rPr>
        <w:t xml:space="preserve">, </w:t>
      </w:r>
      <w:r w:rsidR="00C32466">
        <w:rPr>
          <w:i/>
          <w:color w:val="000000"/>
          <w:szCs w:val="20"/>
          <w:shd w:val="clear" w:color="auto" w:fill="FFFFFF"/>
        </w:rPr>
        <w:t xml:space="preserve">Zdroj </w:t>
      </w:r>
      <w:r w:rsidR="00C32466" w:rsidRPr="00B64473">
        <w:rPr>
          <w:i/>
          <w:color w:val="000000"/>
          <w:szCs w:val="20"/>
          <w:shd w:val="clear" w:color="auto" w:fill="FFFFFF"/>
        </w:rPr>
        <w:t>[</w:t>
      </w:r>
      <w:r w:rsidR="00C32466">
        <w:rPr>
          <w:i/>
          <w:color w:val="000000"/>
          <w:szCs w:val="20"/>
          <w:shd w:val="clear" w:color="auto" w:fill="FFFFFF"/>
        </w:rPr>
        <w:t>AT</w:t>
      </w:r>
      <w:r w:rsidR="00BD519C">
        <w:rPr>
          <w:i/>
          <w:color w:val="000000"/>
          <w:szCs w:val="20"/>
          <w:shd w:val="clear" w:color="auto" w:fill="FFFFFF"/>
        </w:rPr>
        <w:t>10</w:t>
      </w:r>
      <w:r w:rsidR="00C32466" w:rsidRPr="00B64473">
        <w:rPr>
          <w:i/>
          <w:color w:val="000000"/>
          <w:szCs w:val="20"/>
          <w:shd w:val="clear" w:color="auto" w:fill="FFFFFF"/>
        </w:rPr>
        <w:t>]</w:t>
      </w:r>
    </w:p>
    <w:p w:rsidR="00A314DA" w:rsidRDefault="00A314DA" w:rsidP="00953034">
      <w:pPr>
        <w:spacing w:after="0"/>
      </w:pPr>
      <w:r>
        <w:t xml:space="preserve">Podrobnější informace o tomto projektu , který proběhl v roce 2007 jsou uvedeny v přiloženém souboru </w:t>
      </w:r>
      <w:r w:rsidRPr="00C32448">
        <w:t>AT_10</w:t>
      </w:r>
      <w:r>
        <w:t xml:space="preserve">. Ale opět se jednalo pouze o návrh, který nemusí být využitelný a informace o jeho struktuře mají jen obecný ráz, který je kladen na všechny systému této kategorie. </w:t>
      </w:r>
    </w:p>
    <w:p w:rsidR="00953034" w:rsidRDefault="00A314DA" w:rsidP="00A314DA">
      <w:pPr>
        <w:spacing w:before="120" w:after="0"/>
        <w:ind w:firstLine="284"/>
      </w:pPr>
      <w:r>
        <w:t xml:space="preserve">Soubor: </w:t>
      </w:r>
      <w:r w:rsidR="004876E8" w:rsidRPr="00C32448">
        <w:t>AT_10_HeavyRoute.pdf</w:t>
      </w:r>
    </w:p>
    <w:p w:rsidR="00A314DA" w:rsidRDefault="00953034" w:rsidP="00A314DA">
      <w:pPr>
        <w:spacing w:before="120" w:after="0"/>
        <w:ind w:firstLine="284"/>
      </w:pPr>
      <w:r>
        <w:t xml:space="preserve">Na loňské konferenci (září 2011), jak již bylo zmíněno, bylo představeno několik řešení sledování nebezpečných nákladů. Mezi návrhy byl i záměr firmy KAPSCH, která provozuje mýtný systém. Všechny nové elektronické systémy mýta, uvedené do provozu v roce 2007, mají již v sobě zabudované jednu či více následujících technologií. </w:t>
      </w:r>
    </w:p>
    <w:p w:rsidR="00953034" w:rsidRDefault="00953034" w:rsidP="00A314DA">
      <w:pPr>
        <w:spacing w:before="120"/>
        <w:ind w:firstLine="284"/>
      </w:pPr>
      <w:r>
        <w:t xml:space="preserve">Jednou z nich je satelitní zaměření, další je pak mobilní komunikace pomocí GSM / GPRS a poslední technologií je mikrovlnná technika (5,8 GHz). </w:t>
      </w:r>
    </w:p>
    <w:p w:rsidR="00953034" w:rsidRDefault="00953034" w:rsidP="00A314DA">
      <w:pPr>
        <w:spacing w:after="0"/>
        <w:ind w:firstLine="0"/>
        <w:jc w:val="center"/>
      </w:pPr>
      <w:r>
        <w:rPr>
          <w:noProof/>
        </w:rPr>
        <w:drawing>
          <wp:inline distT="0" distB="0" distL="0" distR="0">
            <wp:extent cx="5486400" cy="2610152"/>
            <wp:effectExtent l="19050" t="0" r="0" b="0"/>
            <wp:docPr id="44" name="Obrázek 9" descr="kap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psch.jpg"/>
                    <pic:cNvPicPr/>
                  </pic:nvPicPr>
                  <pic:blipFill>
                    <a:blip r:embed="rId88" cstate="print"/>
                    <a:stretch>
                      <a:fillRect/>
                    </a:stretch>
                  </pic:blipFill>
                  <pic:spPr>
                    <a:xfrm>
                      <a:off x="0" y="0"/>
                      <a:ext cx="5484586" cy="2609289"/>
                    </a:xfrm>
                    <a:prstGeom prst="rect">
                      <a:avLst/>
                    </a:prstGeom>
                  </pic:spPr>
                </pic:pic>
              </a:graphicData>
            </a:graphic>
          </wp:inline>
        </w:drawing>
      </w:r>
    </w:p>
    <w:p w:rsidR="00A314DA" w:rsidRPr="00A314DA" w:rsidRDefault="00A314DA" w:rsidP="00A314DA">
      <w:pPr>
        <w:spacing w:before="120"/>
        <w:ind w:firstLine="0"/>
        <w:jc w:val="center"/>
        <w:rPr>
          <w:i/>
        </w:rPr>
      </w:pPr>
      <w:r w:rsidRPr="00A314DA">
        <w:rPr>
          <w:i/>
        </w:rPr>
        <w:t>AT – Obr. 6. – systém společnosti KAPSCH</w:t>
      </w:r>
      <w:r w:rsidR="00C32466">
        <w:rPr>
          <w:i/>
        </w:rPr>
        <w:t xml:space="preserve">, </w:t>
      </w:r>
      <w:r w:rsidR="00C32466">
        <w:rPr>
          <w:i/>
          <w:color w:val="000000"/>
          <w:szCs w:val="20"/>
          <w:shd w:val="clear" w:color="auto" w:fill="FFFFFF"/>
        </w:rPr>
        <w:t xml:space="preserve">Zdroj </w:t>
      </w:r>
      <w:r w:rsidR="00C32466" w:rsidRPr="00B64473">
        <w:rPr>
          <w:i/>
          <w:color w:val="000000"/>
          <w:szCs w:val="20"/>
          <w:shd w:val="clear" w:color="auto" w:fill="FFFFFF"/>
        </w:rPr>
        <w:t>[</w:t>
      </w:r>
      <w:r w:rsidR="00C32466">
        <w:rPr>
          <w:i/>
          <w:color w:val="000000"/>
          <w:szCs w:val="20"/>
          <w:shd w:val="clear" w:color="auto" w:fill="FFFFFF"/>
        </w:rPr>
        <w:t>AT1</w:t>
      </w:r>
      <w:r w:rsidR="00BD519C">
        <w:rPr>
          <w:i/>
          <w:color w:val="000000"/>
          <w:szCs w:val="20"/>
          <w:shd w:val="clear" w:color="auto" w:fill="FFFFFF"/>
        </w:rPr>
        <w:t>1</w:t>
      </w:r>
      <w:r w:rsidR="00C32466" w:rsidRPr="00B64473">
        <w:rPr>
          <w:i/>
          <w:color w:val="000000"/>
          <w:szCs w:val="20"/>
          <w:shd w:val="clear" w:color="auto" w:fill="FFFFFF"/>
        </w:rPr>
        <w:t>]</w:t>
      </w:r>
    </w:p>
    <w:p w:rsidR="00A314DA" w:rsidRDefault="00A314DA" w:rsidP="00953034">
      <w:pPr>
        <w:spacing w:after="0"/>
      </w:pPr>
    </w:p>
    <w:p w:rsidR="00953034" w:rsidRDefault="00953034" w:rsidP="00A314DA">
      <w:pPr>
        <w:ind w:firstLine="284"/>
      </w:pPr>
      <w:r>
        <w:lastRenderedPageBreak/>
        <w:t>Funkčnost palubní jednotky je posuzována z hlediska několika parametrů. Mezi nimi je například systém určování polohy, komunikace, výkon procesoru, cena a instalace ve vozidle. Všechny tyto parametry jsou hodnoceny vzhledem k satelitní navigaci a technologii DSRC. Jejich porovnání je uvedeno v následující tabulce.</w:t>
      </w:r>
    </w:p>
    <w:p w:rsidR="00953034" w:rsidRDefault="00953034" w:rsidP="00A314DA">
      <w:pPr>
        <w:spacing w:after="0"/>
        <w:ind w:firstLine="0"/>
        <w:jc w:val="center"/>
      </w:pPr>
      <w:r>
        <w:rPr>
          <w:noProof/>
        </w:rPr>
        <w:drawing>
          <wp:inline distT="0" distB="0" distL="0" distR="0">
            <wp:extent cx="5760720" cy="3113405"/>
            <wp:effectExtent l="19050" t="0" r="0" b="0"/>
            <wp:docPr id="45" name="Obrázek 10" descr="satelit_ds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elit_dsrc.jpg"/>
                    <pic:cNvPicPr/>
                  </pic:nvPicPr>
                  <pic:blipFill>
                    <a:blip r:embed="rId89" cstate="print"/>
                    <a:stretch>
                      <a:fillRect/>
                    </a:stretch>
                  </pic:blipFill>
                  <pic:spPr>
                    <a:xfrm>
                      <a:off x="0" y="0"/>
                      <a:ext cx="5760720" cy="3113405"/>
                    </a:xfrm>
                    <a:prstGeom prst="rect">
                      <a:avLst/>
                    </a:prstGeom>
                  </pic:spPr>
                </pic:pic>
              </a:graphicData>
            </a:graphic>
          </wp:inline>
        </w:drawing>
      </w:r>
    </w:p>
    <w:p w:rsidR="00A314DA" w:rsidRPr="00A314DA" w:rsidRDefault="00A314DA" w:rsidP="00A314DA">
      <w:pPr>
        <w:spacing w:before="120"/>
        <w:ind w:firstLine="0"/>
        <w:jc w:val="center"/>
        <w:rPr>
          <w:i/>
        </w:rPr>
      </w:pPr>
      <w:r w:rsidRPr="00A314DA">
        <w:rPr>
          <w:i/>
        </w:rPr>
        <w:t>AT – Obr. 7. – Funkčnost palubní jednotky</w:t>
      </w:r>
      <w:r w:rsidR="00C32466">
        <w:rPr>
          <w:i/>
        </w:rPr>
        <w:t xml:space="preserve">, </w:t>
      </w:r>
      <w:r w:rsidR="00C32466">
        <w:rPr>
          <w:i/>
          <w:color w:val="000000"/>
          <w:szCs w:val="20"/>
          <w:shd w:val="clear" w:color="auto" w:fill="FFFFFF"/>
        </w:rPr>
        <w:t xml:space="preserve">Zdroj </w:t>
      </w:r>
      <w:r w:rsidR="00C32466" w:rsidRPr="00B64473">
        <w:rPr>
          <w:i/>
          <w:color w:val="000000"/>
          <w:szCs w:val="20"/>
          <w:shd w:val="clear" w:color="auto" w:fill="FFFFFF"/>
        </w:rPr>
        <w:t>[</w:t>
      </w:r>
      <w:r w:rsidR="00C32466">
        <w:rPr>
          <w:i/>
          <w:color w:val="000000"/>
          <w:szCs w:val="20"/>
          <w:shd w:val="clear" w:color="auto" w:fill="FFFFFF"/>
        </w:rPr>
        <w:t>AT1</w:t>
      </w:r>
      <w:r w:rsidR="00BD519C">
        <w:rPr>
          <w:i/>
          <w:color w:val="000000"/>
          <w:szCs w:val="20"/>
          <w:shd w:val="clear" w:color="auto" w:fill="FFFFFF"/>
        </w:rPr>
        <w:t>1</w:t>
      </w:r>
      <w:r w:rsidR="00C32466" w:rsidRPr="00B64473">
        <w:rPr>
          <w:i/>
          <w:color w:val="000000"/>
          <w:szCs w:val="20"/>
          <w:shd w:val="clear" w:color="auto" w:fill="FFFFFF"/>
        </w:rPr>
        <w:t>]</w:t>
      </w:r>
    </w:p>
    <w:p w:rsidR="00953034" w:rsidRDefault="00953034" w:rsidP="00A314DA">
      <w:pPr>
        <w:spacing w:after="0"/>
        <w:ind w:firstLine="284"/>
      </w:pPr>
      <w:r>
        <w:t>Soubor:</w:t>
      </w:r>
      <w:r w:rsidRPr="003A2BDA">
        <w:t xml:space="preserve"> </w:t>
      </w:r>
      <w:r w:rsidR="00A314DA" w:rsidRPr="00A314DA">
        <w:t>AT_11_GGMonitoring_Kapsch.pdf</w:t>
      </w:r>
    </w:p>
    <w:p w:rsidR="00953034" w:rsidRPr="001B1323" w:rsidRDefault="00953034" w:rsidP="00A314DA">
      <w:pPr>
        <w:pStyle w:val="Nadpis4"/>
        <w:spacing w:after="120"/>
        <w:ind w:left="862" w:hanging="862"/>
        <w:rPr>
          <w:rFonts w:ascii="Times New Roman" w:eastAsiaTheme="majorEastAsia" w:hAnsi="Times New Roman"/>
          <w:sz w:val="28"/>
        </w:rPr>
      </w:pPr>
      <w:bookmarkStart w:id="23" w:name="_Toc326741504"/>
      <w:r w:rsidRPr="001B1323">
        <w:rPr>
          <w:rFonts w:ascii="Times New Roman" w:eastAsiaTheme="majorEastAsia" w:hAnsi="Times New Roman"/>
          <w:sz w:val="28"/>
        </w:rPr>
        <w:t>Železniční přeprava</w:t>
      </w:r>
      <w:bookmarkEnd w:id="23"/>
    </w:p>
    <w:p w:rsidR="00953034" w:rsidRDefault="00953034" w:rsidP="00F95F36">
      <w:pPr>
        <w:spacing w:before="120" w:after="0"/>
        <w:ind w:firstLine="284"/>
        <w:rPr>
          <w:color w:val="000000"/>
          <w:szCs w:val="20"/>
          <w:shd w:val="clear" w:color="auto" w:fill="FFFFFF"/>
        </w:rPr>
      </w:pPr>
      <w:r>
        <w:rPr>
          <w:color w:val="000000"/>
          <w:szCs w:val="20"/>
          <w:shd w:val="clear" w:color="auto" w:fill="FFFFFF"/>
        </w:rPr>
        <w:t xml:space="preserve">V železniční přepravě nebezpečných věcí nejsou žádné náznaky a snahy vytvořit systém sledování pohybu vozů převážející nebezpečné materiály. Na železnici funguje systém REM – Rail Emergency Managment, který zahrnuje mimořádné nouzové postupy a komunikační systém pro mimořádné události. </w:t>
      </w:r>
    </w:p>
    <w:p w:rsidR="007B6422" w:rsidRDefault="007B6422" w:rsidP="00A314DA">
      <w:pPr>
        <w:spacing w:before="240" w:after="0"/>
        <w:ind w:firstLine="284"/>
        <w:rPr>
          <w:color w:val="000000"/>
          <w:szCs w:val="20"/>
          <w:shd w:val="clear" w:color="auto" w:fill="FFFFFF"/>
        </w:rPr>
      </w:pPr>
      <w:r>
        <w:rPr>
          <w:color w:val="000000"/>
          <w:szCs w:val="20"/>
          <w:shd w:val="clear" w:color="auto" w:fill="FFFFFF"/>
        </w:rPr>
        <w:t>V současné době není žádný způsob jak pomocí telematických aplikací sledovat pohyb vozu. Jediné, co je umožněno</w:t>
      </w:r>
      <w:r w:rsidR="00F95F36">
        <w:rPr>
          <w:color w:val="000000"/>
          <w:szCs w:val="20"/>
          <w:shd w:val="clear" w:color="auto" w:fill="FFFFFF"/>
        </w:rPr>
        <w:t>,</w:t>
      </w:r>
      <w:r>
        <w:rPr>
          <w:color w:val="000000"/>
          <w:szCs w:val="20"/>
          <w:shd w:val="clear" w:color="auto" w:fill="FFFFFF"/>
        </w:rPr>
        <w:t xml:space="preserve"> je sledování polohy vlaku pomocí interního programu, do kterého se zapisují příjezdy do dané stanice. Zápis do systému ale závisí na lidském činiteli a jediná informace z toho plynoucí, je ve které stanici se vlak zrovna nachází, nebo kterou stanicí projel. Jedná se o obdobný systém, který je zaveden i v České republice. </w:t>
      </w:r>
    </w:p>
    <w:p w:rsidR="00953034" w:rsidRDefault="00953034" w:rsidP="007B6422">
      <w:pPr>
        <w:spacing w:before="120" w:after="0"/>
        <w:ind w:firstLine="284"/>
        <w:rPr>
          <w:color w:val="000000"/>
          <w:szCs w:val="20"/>
          <w:shd w:val="clear" w:color="auto" w:fill="FFFFFF"/>
        </w:rPr>
      </w:pPr>
      <w:r>
        <w:rPr>
          <w:color w:val="000000"/>
          <w:szCs w:val="20"/>
          <w:shd w:val="clear" w:color="auto" w:fill="FFFFFF"/>
        </w:rPr>
        <w:t xml:space="preserve">Z hlediska mezinárodního předpisu ADR jsou veškeré požadavky splněny a další systémy nejsou nutné. Cílem je pokračovat i v budoucnosti s papírovými nákladními listy a příslušnými systémy infrastruktury ÖBB-AG. </w:t>
      </w:r>
    </w:p>
    <w:p w:rsidR="00953034" w:rsidRDefault="00953034" w:rsidP="007B6422">
      <w:pPr>
        <w:spacing w:before="120" w:after="0"/>
        <w:ind w:firstLine="284"/>
        <w:rPr>
          <w:color w:val="000000"/>
          <w:szCs w:val="20"/>
          <w:shd w:val="clear" w:color="auto" w:fill="FFFFFF"/>
        </w:rPr>
      </w:pPr>
      <w:r>
        <w:rPr>
          <w:color w:val="000000"/>
          <w:szCs w:val="20"/>
          <w:shd w:val="clear" w:color="auto" w:fill="FFFFFF"/>
        </w:rPr>
        <w:t>Soubor</w:t>
      </w:r>
      <w:r w:rsidR="007B6422">
        <w:rPr>
          <w:color w:val="000000"/>
          <w:szCs w:val="20"/>
          <w:shd w:val="clear" w:color="auto" w:fill="FFFFFF"/>
        </w:rPr>
        <w:t xml:space="preserve">: </w:t>
      </w:r>
      <w:r w:rsidR="007B6422" w:rsidRPr="007B6422">
        <w:rPr>
          <w:color w:val="000000"/>
          <w:szCs w:val="20"/>
          <w:shd w:val="clear" w:color="auto" w:fill="FFFFFF"/>
        </w:rPr>
        <w:t>AT_12__GGMonitoring_OEBB.pdf</w:t>
      </w:r>
    </w:p>
    <w:p w:rsidR="00953034" w:rsidRPr="001B1323" w:rsidRDefault="00953034" w:rsidP="00953034">
      <w:pPr>
        <w:pStyle w:val="Nadpis4"/>
        <w:rPr>
          <w:rFonts w:ascii="Times New Roman" w:eastAsiaTheme="majorEastAsia" w:hAnsi="Times New Roman"/>
          <w:sz w:val="28"/>
        </w:rPr>
      </w:pPr>
      <w:bookmarkStart w:id="24" w:name="_Toc319948594"/>
      <w:bookmarkStart w:id="25" w:name="_Toc326741505"/>
      <w:r w:rsidRPr="001B1323">
        <w:rPr>
          <w:rFonts w:ascii="Times New Roman" w:eastAsiaTheme="majorEastAsia" w:hAnsi="Times New Roman"/>
          <w:sz w:val="28"/>
        </w:rPr>
        <w:t>V</w:t>
      </w:r>
      <w:bookmarkEnd w:id="24"/>
      <w:r w:rsidRPr="001B1323">
        <w:rPr>
          <w:rFonts w:ascii="Times New Roman" w:eastAsiaTheme="majorEastAsia" w:hAnsi="Times New Roman"/>
          <w:sz w:val="28"/>
        </w:rPr>
        <w:t>nitrozemská vodní přeprava</w:t>
      </w:r>
      <w:bookmarkEnd w:id="25"/>
    </w:p>
    <w:p w:rsidR="00953034" w:rsidRDefault="00953034" w:rsidP="004322CC">
      <w:pPr>
        <w:spacing w:before="120" w:after="0"/>
        <w:ind w:firstLine="284"/>
        <w:rPr>
          <w:color w:val="000000"/>
          <w:szCs w:val="20"/>
          <w:shd w:val="clear" w:color="auto" w:fill="FFFFFF"/>
        </w:rPr>
      </w:pPr>
      <w:r>
        <w:rPr>
          <w:color w:val="000000"/>
          <w:szCs w:val="20"/>
          <w:shd w:val="clear" w:color="auto" w:fill="FFFFFF"/>
        </w:rPr>
        <w:t xml:space="preserve">Při přepravě nebezpečných věcí je také využívána lodní přeprava. V rámci vnitrozemské plavby existuje Říční informační služba (RIS – River Information Services), kde jsou informace týkající se optimalizace dopravní a transportních procesů ve vnitrozemské plavbě. </w:t>
      </w:r>
    </w:p>
    <w:p w:rsidR="004322CC" w:rsidRDefault="00953034" w:rsidP="004322CC">
      <w:pPr>
        <w:spacing w:before="120" w:after="0"/>
        <w:ind w:firstLine="284"/>
        <w:rPr>
          <w:color w:val="000000"/>
          <w:szCs w:val="20"/>
          <w:shd w:val="clear" w:color="auto" w:fill="FFFFFF"/>
        </w:rPr>
      </w:pPr>
      <w:r>
        <w:rPr>
          <w:color w:val="000000"/>
          <w:szCs w:val="20"/>
          <w:shd w:val="clear" w:color="auto" w:fill="FFFFFF"/>
        </w:rPr>
        <w:t xml:space="preserve">V případě lodní přepravy je využíváno i elektronického reportingu (ERI – Electronic Reporting), což je webový nástroj pro hlášení nebezpečných nákladů, informacích o lodích a </w:t>
      </w:r>
      <w:r>
        <w:rPr>
          <w:color w:val="000000"/>
          <w:szCs w:val="20"/>
          <w:shd w:val="clear" w:color="auto" w:fill="FFFFFF"/>
        </w:rPr>
        <w:lastRenderedPageBreak/>
        <w:t xml:space="preserve">cestovních informací. Jeho výhodou je elektronický záznam dat, kódované ukládání dat, automatické zveřejňování dat příslušných orgánům o cestě a vstupní data se zadávají pouze jednou. Realizace se provádí především na Dunaji, kde běží pilotní provoz a od léta 2012 se plánuje plné nasazení. </w:t>
      </w:r>
    </w:p>
    <w:p w:rsidR="00953034" w:rsidRDefault="00953034" w:rsidP="004322CC">
      <w:pPr>
        <w:spacing w:before="120" w:after="0"/>
        <w:ind w:firstLine="284"/>
        <w:rPr>
          <w:color w:val="000000"/>
          <w:szCs w:val="20"/>
          <w:shd w:val="clear" w:color="auto" w:fill="FFFFFF"/>
        </w:rPr>
      </w:pPr>
      <w:r>
        <w:rPr>
          <w:color w:val="000000"/>
          <w:szCs w:val="20"/>
          <w:shd w:val="clear" w:color="auto" w:fill="FFFFFF"/>
        </w:rPr>
        <w:t xml:space="preserve">Systém zavedený na Dunaji má oficiální název DORIS – Donau River Information Services. Řešení sledování polohy lodi je zobrazeno na obrázku. DORIS poskytuje uživatelům lokální korekci pomocí GPS. To platí ale pouze pro území Rakouska. </w:t>
      </w:r>
    </w:p>
    <w:p w:rsidR="00953034" w:rsidRDefault="00953034" w:rsidP="004322CC">
      <w:pPr>
        <w:spacing w:before="120" w:after="0"/>
        <w:rPr>
          <w:color w:val="000000"/>
          <w:szCs w:val="20"/>
          <w:shd w:val="clear" w:color="auto" w:fill="FFFFFF"/>
        </w:rPr>
      </w:pPr>
      <w:r>
        <w:rPr>
          <w:color w:val="000000"/>
          <w:szCs w:val="20"/>
          <w:shd w:val="clear" w:color="auto" w:fill="FFFFFF"/>
        </w:rPr>
        <w:t xml:space="preserve">Hlavním prvkem DORISu jsou AIS transpondéry (AIS– autom. identifikační systém), jehož účelem je poskytnout aktuální polohu pomocí GPS. </w:t>
      </w:r>
    </w:p>
    <w:p w:rsidR="004322CC" w:rsidRDefault="004322CC" w:rsidP="00937A7A">
      <w:pPr>
        <w:spacing w:after="0"/>
        <w:ind w:firstLine="0"/>
        <w:jc w:val="center"/>
        <w:rPr>
          <w:color w:val="FF0000"/>
          <w:szCs w:val="20"/>
          <w:shd w:val="clear" w:color="auto" w:fill="FFFFFF"/>
        </w:rPr>
      </w:pPr>
      <w:r w:rsidRPr="004322CC">
        <w:rPr>
          <w:noProof/>
          <w:color w:val="FF0000"/>
          <w:szCs w:val="20"/>
          <w:shd w:val="clear" w:color="auto" w:fill="FFFFFF"/>
        </w:rPr>
        <w:drawing>
          <wp:inline distT="0" distB="0" distL="0" distR="0">
            <wp:extent cx="3629025" cy="2667000"/>
            <wp:effectExtent l="19050" t="0" r="9525" b="0"/>
            <wp:docPr id="58" name="Obrázek 11" descr="Duna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naj.jpg"/>
                    <pic:cNvPicPr/>
                  </pic:nvPicPr>
                  <pic:blipFill>
                    <a:blip r:embed="rId90" cstate="print"/>
                    <a:stretch>
                      <a:fillRect/>
                    </a:stretch>
                  </pic:blipFill>
                  <pic:spPr>
                    <a:xfrm>
                      <a:off x="0" y="0"/>
                      <a:ext cx="3629025" cy="2667000"/>
                    </a:xfrm>
                    <a:prstGeom prst="rect">
                      <a:avLst/>
                    </a:prstGeom>
                  </pic:spPr>
                </pic:pic>
              </a:graphicData>
            </a:graphic>
          </wp:inline>
        </w:drawing>
      </w:r>
    </w:p>
    <w:p w:rsidR="004322CC" w:rsidRPr="00937A7A" w:rsidRDefault="00937A7A" w:rsidP="00937A7A">
      <w:pPr>
        <w:spacing w:before="120"/>
        <w:ind w:firstLine="0"/>
        <w:jc w:val="center"/>
        <w:rPr>
          <w:i/>
          <w:szCs w:val="20"/>
          <w:shd w:val="clear" w:color="auto" w:fill="FFFFFF"/>
        </w:rPr>
      </w:pPr>
      <w:r w:rsidRPr="00937A7A">
        <w:rPr>
          <w:i/>
          <w:szCs w:val="20"/>
          <w:shd w:val="clear" w:color="auto" w:fill="FFFFFF"/>
        </w:rPr>
        <w:t>AT – Obr. 8. – Sledování polohy lodí</w:t>
      </w:r>
      <w:r w:rsidR="00BD519C">
        <w:rPr>
          <w:i/>
          <w:szCs w:val="20"/>
          <w:shd w:val="clear" w:color="auto" w:fill="FFFFFF"/>
        </w:rPr>
        <w:t xml:space="preserve">, </w:t>
      </w:r>
    </w:p>
    <w:p w:rsidR="00953034" w:rsidRPr="00937A7A" w:rsidRDefault="00953034" w:rsidP="00937A7A">
      <w:pPr>
        <w:spacing w:after="0"/>
        <w:ind w:firstLine="284"/>
        <w:rPr>
          <w:szCs w:val="20"/>
          <w:shd w:val="clear" w:color="auto" w:fill="FFFFFF"/>
        </w:rPr>
      </w:pPr>
      <w:r w:rsidRPr="00937A7A">
        <w:rPr>
          <w:szCs w:val="20"/>
          <w:shd w:val="clear" w:color="auto" w:fill="FFFFFF"/>
        </w:rPr>
        <w:t xml:space="preserve">Zdroj: </w:t>
      </w:r>
      <w:hyperlink r:id="rId91" w:history="1">
        <w:r w:rsidR="00937A7A" w:rsidRPr="00596B07">
          <w:rPr>
            <w:rStyle w:val="Hypertextovodkaz"/>
          </w:rPr>
          <w:t>http://www.doris.bmvit.gv.at/system_doris/technisches_konzept/</w:t>
        </w:r>
      </w:hyperlink>
    </w:p>
    <w:p w:rsidR="00953034" w:rsidRDefault="00937A7A" w:rsidP="00937A7A">
      <w:pPr>
        <w:spacing w:after="0"/>
        <w:ind w:firstLine="284"/>
        <w:rPr>
          <w:color w:val="000000"/>
          <w:szCs w:val="20"/>
          <w:shd w:val="clear" w:color="auto" w:fill="FFFFFF"/>
        </w:rPr>
      </w:pPr>
      <w:r>
        <w:rPr>
          <w:color w:val="000000"/>
          <w:szCs w:val="20"/>
          <w:shd w:val="clear" w:color="auto" w:fill="FFFFFF"/>
        </w:rPr>
        <w:t xml:space="preserve">Soubor: </w:t>
      </w:r>
      <w:r w:rsidRPr="00937A7A">
        <w:rPr>
          <w:color w:val="000000"/>
          <w:szCs w:val="20"/>
          <w:shd w:val="clear" w:color="auto" w:fill="FFFFFF"/>
        </w:rPr>
        <w:t>AT_13_doris.bmvit</w:t>
      </w:r>
      <w:r>
        <w:rPr>
          <w:color w:val="000000"/>
          <w:szCs w:val="20"/>
          <w:shd w:val="clear" w:color="auto" w:fill="FFFFFF"/>
        </w:rPr>
        <w:t>.pdf</w:t>
      </w:r>
    </w:p>
    <w:p w:rsidR="00953034" w:rsidRDefault="00953034" w:rsidP="00937A7A">
      <w:pPr>
        <w:spacing w:before="120" w:after="0"/>
        <w:ind w:firstLine="284"/>
        <w:rPr>
          <w:color w:val="000000"/>
          <w:szCs w:val="20"/>
          <w:shd w:val="clear" w:color="auto" w:fill="FFFFFF"/>
        </w:rPr>
      </w:pPr>
      <w:r>
        <w:rPr>
          <w:color w:val="000000"/>
          <w:szCs w:val="20"/>
          <w:shd w:val="clear" w:color="auto" w:fill="FFFFFF"/>
        </w:rPr>
        <w:t xml:space="preserve">Současný stav v Rakousku je následující – říční přeprava nebezpečných látek a její monitorování je umožněno pomocí 2 systémů. Jednak se jedná o systém Tracking &amp; Tracing, který je implementován dle normy EU a současně také pomocí elektronických zpráv ERI. Rakouské orgány mají přístup k oběma systémům. </w:t>
      </w:r>
    </w:p>
    <w:p w:rsidR="00953034" w:rsidRDefault="00953034" w:rsidP="00937A7A">
      <w:pPr>
        <w:spacing w:before="120" w:after="0"/>
        <w:ind w:firstLine="284"/>
        <w:rPr>
          <w:color w:val="000000"/>
          <w:szCs w:val="20"/>
          <w:shd w:val="clear" w:color="auto" w:fill="FFFFFF"/>
        </w:rPr>
      </w:pPr>
      <w:r>
        <w:rPr>
          <w:color w:val="000000"/>
          <w:szCs w:val="20"/>
          <w:shd w:val="clear" w:color="auto" w:fill="FFFFFF"/>
        </w:rPr>
        <w:t>Soubor</w:t>
      </w:r>
      <w:r w:rsidR="00937A7A">
        <w:rPr>
          <w:color w:val="000000"/>
          <w:szCs w:val="20"/>
          <w:shd w:val="clear" w:color="auto" w:fill="FFFFFF"/>
        </w:rPr>
        <w:t xml:space="preserve">: </w:t>
      </w:r>
      <w:r w:rsidR="00937A7A" w:rsidRPr="00937A7A">
        <w:rPr>
          <w:color w:val="000000"/>
          <w:szCs w:val="20"/>
          <w:shd w:val="clear" w:color="auto" w:fill="FFFFFF"/>
        </w:rPr>
        <w:t>AT_14_GGMonitoring_Viadonau.pdf</w:t>
      </w:r>
    </w:p>
    <w:p w:rsidR="00A66A46" w:rsidRPr="00A66A46" w:rsidRDefault="00A66A46" w:rsidP="00A66A46">
      <w:pPr>
        <w:pStyle w:val="Nadpis3"/>
        <w:rPr>
          <w:rFonts w:ascii="Times New Roman" w:eastAsiaTheme="majorEastAsia" w:hAnsi="Times New Roman"/>
          <w:sz w:val="28"/>
        </w:rPr>
      </w:pPr>
      <w:bookmarkStart w:id="26" w:name="_Toc326741506"/>
      <w:r>
        <w:rPr>
          <w:rFonts w:ascii="Times New Roman" w:eastAsiaTheme="majorEastAsia" w:hAnsi="Times New Roman"/>
          <w:sz w:val="28"/>
        </w:rPr>
        <w:t>Shrnutí</w:t>
      </w:r>
      <w:bookmarkEnd w:id="26"/>
    </w:p>
    <w:p w:rsidR="00A66A46" w:rsidRDefault="007A240A" w:rsidP="00937A7A">
      <w:pPr>
        <w:spacing w:before="120" w:after="0"/>
        <w:ind w:firstLine="284"/>
        <w:rPr>
          <w:color w:val="000000"/>
          <w:szCs w:val="20"/>
          <w:shd w:val="clear" w:color="auto" w:fill="FFFFFF"/>
        </w:rPr>
      </w:pPr>
      <w:r>
        <w:rPr>
          <w:color w:val="000000"/>
          <w:szCs w:val="20"/>
          <w:shd w:val="clear" w:color="auto" w:fill="FFFFFF"/>
        </w:rPr>
        <w:t xml:space="preserve">Republika Rakouska se během několika posledních let zapojila do různých projektů probíhajících v Evropě za účelem vytvoření systému pro sledování nebezpečných věcí. To se však nestalo, pouze byly vyzkoušeny některé technologie, ale v projektech se dále nepokračovalo. </w:t>
      </w:r>
    </w:p>
    <w:p w:rsidR="007A240A" w:rsidRDefault="007A240A" w:rsidP="00937A7A">
      <w:pPr>
        <w:spacing w:before="120" w:after="0"/>
        <w:ind w:firstLine="284"/>
        <w:rPr>
          <w:color w:val="000000"/>
          <w:szCs w:val="20"/>
          <w:shd w:val="clear" w:color="auto" w:fill="FFFFFF"/>
        </w:rPr>
      </w:pPr>
      <w:r>
        <w:rPr>
          <w:color w:val="000000"/>
          <w:szCs w:val="20"/>
          <w:shd w:val="clear" w:color="auto" w:fill="FFFFFF"/>
        </w:rPr>
        <w:t>Nyní tedy neexistuje žádný systém, kromě systému DORIS na Dunaji, který by se touto problematikou zabýval. Až v loňském roce (2011) se začalo řešit, zda by mohl nějaký</w:t>
      </w:r>
      <w:r w:rsidR="009438FA">
        <w:rPr>
          <w:color w:val="000000"/>
          <w:szCs w:val="20"/>
          <w:shd w:val="clear" w:color="auto" w:fill="FFFFFF"/>
        </w:rPr>
        <w:t xml:space="preserve"> systém existovat. V rámci různých konferencích byly představeny návrhy, vize a požadavky na telematický systém. </w:t>
      </w:r>
      <w:r>
        <w:rPr>
          <w:color w:val="000000"/>
          <w:szCs w:val="20"/>
          <w:shd w:val="clear" w:color="auto" w:fill="FFFFFF"/>
        </w:rPr>
        <w:t xml:space="preserve">Některé výzkumné projekty systému již běží, ale informace o nich nejsou veřejně dostupné. </w:t>
      </w:r>
    </w:p>
    <w:p w:rsidR="003513C3" w:rsidRDefault="003513C3">
      <w:pPr>
        <w:spacing w:after="0"/>
        <w:ind w:firstLine="0"/>
        <w:jc w:val="left"/>
        <w:rPr>
          <w:color w:val="000000"/>
          <w:szCs w:val="20"/>
          <w:shd w:val="clear" w:color="auto" w:fill="FFFFFF"/>
        </w:rPr>
      </w:pPr>
      <w:r>
        <w:rPr>
          <w:color w:val="000000"/>
          <w:szCs w:val="20"/>
          <w:shd w:val="clear" w:color="auto" w:fill="FFFFFF"/>
        </w:rPr>
        <w:br w:type="page"/>
      </w:r>
    </w:p>
    <w:p w:rsidR="008E4CA5" w:rsidRPr="00F95F36" w:rsidRDefault="003513C3" w:rsidP="008E4CA5">
      <w:pPr>
        <w:pStyle w:val="Nadpis2"/>
        <w:rPr>
          <w:rFonts w:eastAsiaTheme="majorEastAsia"/>
          <w:sz w:val="30"/>
          <w:szCs w:val="30"/>
        </w:rPr>
      </w:pPr>
      <w:bookmarkStart w:id="27" w:name="_Toc326741507"/>
      <w:r w:rsidRPr="00F95F36">
        <w:rPr>
          <w:rFonts w:eastAsiaTheme="majorEastAsia"/>
          <w:sz w:val="30"/>
          <w:szCs w:val="30"/>
        </w:rPr>
        <w:lastRenderedPageBreak/>
        <w:t>Polská republika</w:t>
      </w:r>
      <w:bookmarkEnd w:id="27"/>
    </w:p>
    <w:p w:rsidR="008E4CA5" w:rsidRPr="00F95F36" w:rsidRDefault="003513C3" w:rsidP="008E4CA5">
      <w:pPr>
        <w:pStyle w:val="Nadpis3"/>
        <w:rPr>
          <w:rFonts w:ascii="Times New Roman" w:eastAsiaTheme="majorEastAsia" w:hAnsi="Times New Roman"/>
          <w:sz w:val="28"/>
        </w:rPr>
      </w:pPr>
      <w:bookmarkStart w:id="28" w:name="_Toc326741508"/>
      <w:r w:rsidRPr="00F95F36">
        <w:rPr>
          <w:rFonts w:ascii="Times New Roman" w:eastAsiaTheme="majorEastAsia" w:hAnsi="Times New Roman"/>
          <w:sz w:val="28"/>
        </w:rPr>
        <w:t>Legislativní rámec</w:t>
      </w:r>
      <w:bookmarkEnd w:id="28"/>
    </w:p>
    <w:p w:rsidR="003513C3" w:rsidRPr="00F95F36" w:rsidRDefault="003513C3" w:rsidP="003513C3">
      <w:pPr>
        <w:pStyle w:val="Nadpis4"/>
        <w:rPr>
          <w:rFonts w:ascii="Times New Roman" w:eastAsiaTheme="majorEastAsia" w:hAnsi="Times New Roman"/>
        </w:rPr>
      </w:pPr>
      <w:bookmarkStart w:id="29" w:name="_Toc320038671"/>
      <w:bookmarkStart w:id="30" w:name="_Toc321301291"/>
      <w:bookmarkStart w:id="31" w:name="_Toc326741509"/>
      <w:r w:rsidRPr="00F95F36">
        <w:rPr>
          <w:rFonts w:ascii="Times New Roman" w:eastAsiaTheme="majorEastAsia" w:hAnsi="Times New Roman"/>
        </w:rPr>
        <w:t>Zákony</w:t>
      </w:r>
      <w:bookmarkEnd w:id="29"/>
      <w:bookmarkEnd w:id="30"/>
      <w:bookmarkEnd w:id="31"/>
    </w:p>
    <w:p w:rsidR="003513C3" w:rsidRPr="003513C3" w:rsidRDefault="003513C3" w:rsidP="00F95F36">
      <w:pPr>
        <w:spacing w:before="120"/>
        <w:ind w:firstLine="284"/>
        <w:rPr>
          <w:rFonts w:eastAsiaTheme="majorEastAsia"/>
        </w:rPr>
      </w:pPr>
      <w:r w:rsidRPr="003513C3">
        <w:rPr>
          <w:rFonts w:eastAsiaTheme="majorEastAsia"/>
        </w:rPr>
        <w:t xml:space="preserve">V Polsku platí jeden unifikovaný zákon řešící problematiku přepravy nebezpečných nákladů. Je to Zákon o přepravě nebezpečného zboží (orig. </w:t>
      </w:r>
      <w:r w:rsidRPr="003513C3">
        <w:rPr>
          <w:rFonts w:eastAsiaTheme="majorEastAsia"/>
          <w:i/>
        </w:rPr>
        <w:t>Ustawa z dnia 19 sierpnia 2011 r. o przewozie towarów niebezpiecznych</w:t>
      </w:r>
      <w:r w:rsidRPr="003513C3">
        <w:rPr>
          <w:rFonts w:eastAsiaTheme="majorEastAsia"/>
        </w:rPr>
        <w:t>, Dz.U. Nr 227/1367).</w:t>
      </w:r>
    </w:p>
    <w:p w:rsidR="003513C3" w:rsidRPr="003513C3" w:rsidRDefault="003513C3" w:rsidP="003513C3">
      <w:pPr>
        <w:spacing w:after="0"/>
        <w:ind w:firstLine="284"/>
      </w:pPr>
      <w:r w:rsidRPr="003513C3">
        <w:rPr>
          <w:rFonts w:eastAsiaTheme="majorEastAsia"/>
        </w:rPr>
        <w:t xml:space="preserve">Internet: </w:t>
      </w:r>
      <w:hyperlink r:id="rId92" w:history="1">
        <w:r w:rsidRPr="003513C3">
          <w:rPr>
            <w:rStyle w:val="Hypertextovodkaz"/>
            <w:rFonts w:eastAsiaTheme="majorEastAsia"/>
          </w:rPr>
          <w:t>http://isap.sejm.gov.pl/DetailsServlet?id=WDU20112271367</w:t>
        </w:r>
      </w:hyperlink>
    </w:p>
    <w:p w:rsidR="003513C3" w:rsidRPr="003513C3" w:rsidRDefault="003513C3" w:rsidP="003513C3">
      <w:pPr>
        <w:ind w:firstLine="284"/>
        <w:rPr>
          <w:rFonts w:eastAsiaTheme="majorEastAsia"/>
        </w:rPr>
      </w:pPr>
      <w:r w:rsidRPr="003513C3">
        <w:rPr>
          <w:rFonts w:eastAsiaTheme="majorEastAsia"/>
        </w:rPr>
        <w:t>Soubor: PL-01-D20111367-Ustawa.pdf</w:t>
      </w:r>
    </w:p>
    <w:p w:rsidR="003513C3" w:rsidRPr="003513C3" w:rsidRDefault="003513C3" w:rsidP="003513C3">
      <w:pPr>
        <w:ind w:firstLine="284"/>
        <w:rPr>
          <w:rFonts w:eastAsiaTheme="majorEastAsia"/>
        </w:rPr>
      </w:pPr>
      <w:r w:rsidRPr="003513C3">
        <w:rPr>
          <w:rFonts w:eastAsiaTheme="majorEastAsia"/>
        </w:rPr>
        <w:t>Zákon je aplikací ADR do polského práva. Nezabývá se způsoby realizace jednotlivých ustanovení, prováděcí předpisy jsou uvedeny v další kapitole.</w:t>
      </w:r>
    </w:p>
    <w:p w:rsidR="003513C3" w:rsidRPr="003513C3" w:rsidRDefault="003513C3" w:rsidP="003513C3">
      <w:pPr>
        <w:ind w:firstLine="284"/>
        <w:rPr>
          <w:rFonts w:eastAsiaTheme="majorEastAsia"/>
        </w:rPr>
      </w:pPr>
      <w:r>
        <w:rPr>
          <w:rFonts w:eastAsiaTheme="majorEastAsia"/>
        </w:rPr>
        <w:t>Aktuální verze Zákona nezmi</w:t>
      </w:r>
      <w:r w:rsidRPr="003513C3">
        <w:rPr>
          <w:rFonts w:eastAsiaTheme="majorEastAsia"/>
        </w:rPr>
        <w:t>ňuje povinnost hlášení silniční přepravy nebezpečného zboží policii ani hasičské službě. Vyhláška o nebezpečném zboží,</w:t>
      </w:r>
      <w:r>
        <w:rPr>
          <w:rFonts w:eastAsiaTheme="majorEastAsia"/>
        </w:rPr>
        <w:t xml:space="preserve"> jehož silniční přeprava podléhá</w:t>
      </w:r>
      <w:r w:rsidRPr="003513C3">
        <w:rPr>
          <w:rFonts w:eastAsiaTheme="majorEastAsia"/>
        </w:rPr>
        <w:t xml:space="preserve"> povinnosti nahlášení (vydána k předchozímu zákonu) platí nanejvýš do konce června. Není jasné, jestli tato povinnost bude přidána novelizací zákona.</w:t>
      </w:r>
    </w:p>
    <w:p w:rsidR="003513C3" w:rsidRPr="003513C3" w:rsidRDefault="003513C3" w:rsidP="003513C3">
      <w:pPr>
        <w:ind w:firstLine="284"/>
        <w:rPr>
          <w:rFonts w:eastAsiaTheme="majorEastAsia"/>
        </w:rPr>
      </w:pPr>
      <w:r w:rsidRPr="003513C3">
        <w:rPr>
          <w:rFonts w:eastAsiaTheme="majorEastAsia"/>
        </w:rPr>
        <w:t>Zákon neobsahuje další ustanovení, jež by nevyplývala z ADR. Nepopisujeme je tedy detailně.</w:t>
      </w:r>
    </w:p>
    <w:p w:rsidR="003513C3" w:rsidRPr="008F7607" w:rsidRDefault="003513C3" w:rsidP="003513C3">
      <w:pPr>
        <w:pStyle w:val="Nadpis4"/>
        <w:rPr>
          <w:rFonts w:ascii="Times New Roman" w:eastAsiaTheme="majorEastAsia" w:hAnsi="Times New Roman"/>
        </w:rPr>
      </w:pPr>
      <w:bookmarkStart w:id="32" w:name="_Toc320038672"/>
      <w:bookmarkStart w:id="33" w:name="_Toc321301292"/>
      <w:bookmarkStart w:id="34" w:name="_Toc326741510"/>
      <w:r w:rsidRPr="008F7607">
        <w:rPr>
          <w:rFonts w:ascii="Times New Roman" w:eastAsiaTheme="majorEastAsia" w:hAnsi="Times New Roman"/>
        </w:rPr>
        <w:t>Vyhlášky</w:t>
      </w:r>
      <w:bookmarkEnd w:id="32"/>
      <w:bookmarkEnd w:id="33"/>
      <w:bookmarkEnd w:id="34"/>
    </w:p>
    <w:p w:rsidR="003513C3" w:rsidRPr="003513C3" w:rsidRDefault="003513C3" w:rsidP="003513C3">
      <w:pPr>
        <w:ind w:firstLine="284"/>
        <w:rPr>
          <w:rFonts w:eastAsiaTheme="majorEastAsia"/>
        </w:rPr>
      </w:pPr>
      <w:r w:rsidRPr="003513C3">
        <w:rPr>
          <w:rFonts w:eastAsiaTheme="majorEastAsia"/>
        </w:rPr>
        <w:t xml:space="preserve">Dále existuje několik ministerských vyhlášek, které se bohužel aktuálně vztahují k předchozím zákonům, zrušeným nabytím platnosti novým Zákonem. Do konce června </w:t>
      </w:r>
      <w:r>
        <w:rPr>
          <w:rFonts w:eastAsiaTheme="majorEastAsia"/>
        </w:rPr>
        <w:t xml:space="preserve">r. </w:t>
      </w:r>
      <w:r w:rsidRPr="003513C3">
        <w:rPr>
          <w:rFonts w:eastAsiaTheme="majorEastAsia"/>
        </w:rPr>
        <w:t>2012  se musí vyhlásit nové vyhlášky. Uvádíme tedy jenom výčet momentálně platných předpisů, komentář je zbytečný právě kvůli jejich brzké změně:</w:t>
      </w:r>
    </w:p>
    <w:p w:rsidR="003513C3" w:rsidRPr="00F95F36" w:rsidRDefault="003513C3" w:rsidP="003513C3">
      <w:pPr>
        <w:pStyle w:val="Nadpis5"/>
        <w:rPr>
          <w:rFonts w:ascii="Times New Roman" w:eastAsiaTheme="majorEastAsia" w:hAnsi="Times New Roman"/>
          <w:i w:val="0"/>
          <w:sz w:val="24"/>
        </w:rPr>
      </w:pPr>
      <w:r w:rsidRPr="00F95F36">
        <w:rPr>
          <w:rFonts w:ascii="Times New Roman" w:eastAsiaTheme="majorEastAsia" w:hAnsi="Times New Roman"/>
          <w:i w:val="0"/>
          <w:sz w:val="24"/>
        </w:rPr>
        <w:t>Silniční doprava</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Vyhláška o nebezpečném zboží, jehož silniční přeprava podléh</w:t>
      </w:r>
      <w:r w:rsidR="00EF51E5">
        <w:rPr>
          <w:rFonts w:ascii="Times New Roman" w:eastAsiaTheme="majorEastAsia" w:hAnsi="Times New Roman"/>
          <w:sz w:val="24"/>
        </w:rPr>
        <w:t>á</w:t>
      </w:r>
      <w:r w:rsidRPr="003513C3">
        <w:rPr>
          <w:rFonts w:ascii="Times New Roman" w:eastAsiaTheme="majorEastAsia" w:hAnsi="Times New Roman"/>
          <w:sz w:val="24"/>
        </w:rPr>
        <w:t xml:space="preserve"> povinnosti nahlášení (orig. </w:t>
      </w:r>
      <w:r w:rsidRPr="003513C3">
        <w:rPr>
          <w:rFonts w:ascii="Times New Roman" w:eastAsiaTheme="majorEastAsia" w:hAnsi="Times New Roman"/>
          <w:i/>
          <w:sz w:val="24"/>
        </w:rPr>
        <w:t>Rozporządzenie Ministra Transportu w sprawie towarów niebezpiecznych, których przewóz drogowy podlega obowiązkowi zgłoszenia</w:t>
      </w:r>
      <w:r w:rsidRPr="003513C3">
        <w:rPr>
          <w:rFonts w:ascii="Times New Roman" w:eastAsiaTheme="majorEastAsia" w:hAnsi="Times New Roman"/>
          <w:sz w:val="24"/>
        </w:rPr>
        <w:t>).</w:t>
      </w:r>
    </w:p>
    <w:p w:rsidR="003513C3" w:rsidRPr="003513C3" w:rsidRDefault="003513C3" w:rsidP="003513C3">
      <w:pPr>
        <w:spacing w:after="0"/>
        <w:ind w:firstLine="284"/>
      </w:pPr>
      <w:r w:rsidRPr="003513C3">
        <w:rPr>
          <w:rFonts w:eastAsiaTheme="majorEastAsia"/>
        </w:rPr>
        <w:t xml:space="preserve">Internet: </w:t>
      </w:r>
      <w:hyperlink r:id="rId93" w:history="1">
        <w:r w:rsidRPr="003513C3">
          <w:rPr>
            <w:rStyle w:val="Hypertextovodkaz"/>
            <w:rFonts w:eastAsiaTheme="majorEastAsia"/>
          </w:rPr>
          <w:t>http://bip.transport.gov.pl/pl/bip/akty_prawne/transport_drogowy/rozporzadzenia/rozp_tow_niebez/px_rozp_tow_niebez.pdf</w:t>
        </w:r>
      </w:hyperlink>
    </w:p>
    <w:p w:rsidR="003513C3" w:rsidRPr="003513C3" w:rsidRDefault="003513C3" w:rsidP="003513C3">
      <w:pPr>
        <w:ind w:firstLine="284"/>
        <w:rPr>
          <w:rFonts w:eastAsiaTheme="majorEastAsia"/>
        </w:rPr>
      </w:pPr>
      <w:r w:rsidRPr="003513C3">
        <w:t>Soubor: PL-02-px_rozp_tow_niebez.pdf</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změně vyhlášky o přizpůsobení vozidel k přepravě některých nebezpečných věcí (orig. </w:t>
      </w:r>
      <w:r w:rsidRPr="003513C3">
        <w:rPr>
          <w:rFonts w:ascii="Times New Roman" w:eastAsiaTheme="majorEastAsia" w:hAnsi="Times New Roman"/>
          <w:i/>
          <w:sz w:val="24"/>
        </w:rPr>
        <w:t>Rozporządzenie Ministra Infrastruktury zmieniające rozporządzenie w sprawie świadectwa dopuszczenia pojazdów do przewozu niektórych towarów niebezpiecznych</w:t>
      </w:r>
      <w:r w:rsidRPr="003513C3">
        <w:rPr>
          <w:rFonts w:ascii="Times New Roman" w:eastAsiaTheme="majorEastAsia" w:hAnsi="Times New Roman"/>
          <w:sz w:val="24"/>
        </w:rPr>
        <w:t>).</w:t>
      </w:r>
    </w:p>
    <w:p w:rsidR="003513C3" w:rsidRPr="003513C3" w:rsidRDefault="003513C3" w:rsidP="003513C3">
      <w:pPr>
        <w:spacing w:after="0"/>
        <w:ind w:firstLine="284"/>
      </w:pPr>
      <w:r w:rsidRPr="003513C3">
        <w:rPr>
          <w:rFonts w:eastAsiaTheme="majorEastAsia"/>
        </w:rPr>
        <w:t xml:space="preserve">Internet: </w:t>
      </w:r>
      <w:hyperlink r:id="rId94" w:history="1">
        <w:r w:rsidRPr="003513C3">
          <w:rPr>
            <w:rStyle w:val="Hypertextovodkaz"/>
            <w:rFonts w:eastAsiaTheme="majorEastAsia"/>
          </w:rPr>
          <w:t>http://bip.transport.gov.pl/pl/bip/akty_prawne/transport_drogowy/rozporzadzenia/rozp_sw_tow_niebezp/px_dz_917_137_10.pdf</w:t>
        </w:r>
      </w:hyperlink>
    </w:p>
    <w:p w:rsidR="003513C3" w:rsidRPr="003513C3" w:rsidRDefault="003513C3" w:rsidP="003513C3">
      <w:pPr>
        <w:ind w:firstLine="284"/>
        <w:rPr>
          <w:rFonts w:eastAsiaTheme="majorEastAsia"/>
        </w:rPr>
      </w:pPr>
      <w:r w:rsidRPr="003513C3">
        <w:rPr>
          <w:rFonts w:eastAsiaTheme="majorEastAsia"/>
        </w:rPr>
        <w:t>Soubor:</w:t>
      </w:r>
      <w:r w:rsidRPr="003513C3">
        <w:t xml:space="preserve"> </w:t>
      </w:r>
      <w:r w:rsidRPr="003513C3">
        <w:rPr>
          <w:rFonts w:eastAsiaTheme="majorEastAsia"/>
        </w:rPr>
        <w:t>PL-03-px_dz_917_137_10.pdf</w:t>
      </w:r>
    </w:p>
    <w:p w:rsidR="003513C3" w:rsidRPr="00F95F36" w:rsidRDefault="003513C3" w:rsidP="003513C3">
      <w:pPr>
        <w:pStyle w:val="Nadpis5"/>
        <w:rPr>
          <w:rFonts w:ascii="Times New Roman" w:eastAsiaTheme="majorEastAsia" w:hAnsi="Times New Roman"/>
          <w:i w:val="0"/>
          <w:sz w:val="24"/>
          <w:szCs w:val="24"/>
        </w:rPr>
      </w:pPr>
      <w:r w:rsidRPr="003513C3">
        <w:rPr>
          <w:rFonts w:eastAsiaTheme="majorEastAsia"/>
        </w:rPr>
        <w:br w:type="column"/>
      </w:r>
      <w:r w:rsidRPr="00F95F36">
        <w:rPr>
          <w:rFonts w:ascii="Times New Roman" w:eastAsiaTheme="majorEastAsia" w:hAnsi="Times New Roman"/>
          <w:i w:val="0"/>
          <w:sz w:val="24"/>
        </w:rPr>
        <w:lastRenderedPageBreak/>
        <w:t>Železniční doprava</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podrobných požadavcích vůči subjektům vedoucím školení a rozsahů těchto školení (orig. </w:t>
      </w:r>
      <w:r w:rsidRPr="003513C3">
        <w:rPr>
          <w:rFonts w:ascii="Times New Roman" w:eastAsiaTheme="majorEastAsia" w:hAnsi="Times New Roman"/>
          <w:i/>
          <w:sz w:val="24"/>
        </w:rPr>
        <w:t>Rozporządzenie Ministra Infrastruktury w sprawie szczegółowych wymagań w stosunku do podmiotów prowadzących kursy początkowe i doskonalące oraz zakresu tych kursów</w:t>
      </w:r>
      <w:r w:rsidRPr="003513C3">
        <w:rPr>
          <w:rFonts w:ascii="Times New Roman" w:eastAsiaTheme="majorEastAsia" w:hAnsi="Times New Roman"/>
          <w:sz w:val="24"/>
        </w:rPr>
        <w:t>).</w:t>
      </w:r>
    </w:p>
    <w:p w:rsidR="003513C3" w:rsidRPr="003513C3" w:rsidRDefault="003513C3" w:rsidP="003513C3">
      <w:pPr>
        <w:spacing w:after="0"/>
        <w:ind w:firstLine="284"/>
      </w:pPr>
      <w:r w:rsidRPr="003513C3">
        <w:rPr>
          <w:rFonts w:eastAsiaTheme="majorEastAsia"/>
        </w:rPr>
        <w:t xml:space="preserve">Internet: </w:t>
      </w:r>
      <w:hyperlink r:id="rId95" w:history="1">
        <w:r w:rsidRPr="003513C3">
          <w:rPr>
            <w:rStyle w:val="Hypertextovodkaz"/>
            <w:rFonts w:eastAsiaTheme="majorEastAsia"/>
          </w:rPr>
          <w:t>http://bip.transport.gov.pl/pl/bip/akty_prawne/transport_kolejowy/rozporzadzenia/akty_wykonawcze_do_ustawy_z_dnia_31_marca_2004_r._o_przewozie_koleja_towarow_niebezpiecznych/rozp._mi_z_dnia_21_maja_2004_r._w_sprawie_szczegolowych_wymagan_w_stosunku_do_podmiotow_prowadzacych_kursy_poczatkowe_i_doskonalace_oraz_zakresu_tych_kursow/px_art.40_ustawy_o_przew.kol.tow.niebep..pdf</w:t>
        </w:r>
      </w:hyperlink>
    </w:p>
    <w:p w:rsidR="003513C3" w:rsidRPr="003513C3" w:rsidRDefault="003513C3" w:rsidP="003513C3">
      <w:pPr>
        <w:ind w:firstLine="284"/>
        <w:rPr>
          <w:rFonts w:eastAsiaTheme="majorEastAsia"/>
        </w:rPr>
      </w:pPr>
      <w:r w:rsidRPr="003513C3">
        <w:t>Soubor: PL-04-px_art_40_ustawy_o_przew_kol_tow_niebep.pdf</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vzoru osvědčení bezpečnostního poradce pro železniční dopravu nebezpečných věcí (orig. </w:t>
      </w:r>
      <w:r w:rsidRPr="003513C3">
        <w:rPr>
          <w:rFonts w:ascii="Times New Roman" w:eastAsiaTheme="majorEastAsia" w:hAnsi="Times New Roman"/>
          <w:i/>
          <w:sz w:val="24"/>
        </w:rPr>
        <w:t>Rozporządzenie Ministra Infrastruktury w sprawie wzoru świadectwa doradcy do spraw bezpieczeństwa przewozu koleją towarów niebezpiecznych</w:t>
      </w:r>
      <w:r w:rsidRPr="003513C3">
        <w:rPr>
          <w:rFonts w:ascii="Times New Roman" w:eastAsiaTheme="majorEastAsia" w:hAnsi="Times New Roman"/>
          <w:sz w:val="24"/>
        </w:rPr>
        <w:t>).</w:t>
      </w:r>
    </w:p>
    <w:p w:rsidR="003513C3" w:rsidRPr="003513C3" w:rsidRDefault="003513C3" w:rsidP="003513C3">
      <w:pPr>
        <w:ind w:firstLine="284"/>
      </w:pPr>
      <w:r w:rsidRPr="003513C3">
        <w:rPr>
          <w:rFonts w:eastAsiaTheme="majorEastAsia"/>
        </w:rPr>
        <w:t xml:space="preserve">Internet: </w:t>
      </w:r>
      <w:hyperlink r:id="rId96" w:history="1">
        <w:r w:rsidRPr="003513C3">
          <w:rPr>
            <w:rStyle w:val="Hypertextovodkaz"/>
            <w:rFonts w:eastAsiaTheme="majorEastAsia"/>
          </w:rPr>
          <w:t>http://bip.transport.gov.pl/pl/bip/akty_prawne/transport_kolejowy/rozporzadzenia/akty_wykonawcze_do_ustawy_z_dnia_31_marca_2004_r._o_przewozie_koleja_towarow_niebezpiecznych/rozp._mi_z_dnia_21_maja_2004_r._w_sprawie_wzoru_swiadectwa_doradcy_do_spraw_bezpieczenstwa_przewozu_koleja_towarow_niebezpiecznych/px_art.35_ust.3_ustawy_o_przew.kol.tow.niebep..pdf</w:t>
        </w:r>
      </w:hyperlink>
    </w:p>
    <w:p w:rsidR="003513C3" w:rsidRPr="003513C3" w:rsidRDefault="003513C3" w:rsidP="003513C3">
      <w:pPr>
        <w:ind w:firstLine="284"/>
        <w:rPr>
          <w:rFonts w:eastAsiaTheme="majorEastAsia"/>
        </w:rPr>
      </w:pPr>
      <w:r w:rsidRPr="003513C3">
        <w:t>Soubor: PL-05-px_art_35_ust_3_ustawy_o_przew_kol_tow_niebep.pdf</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vzoru formuláře roční zprávy o činnostech týkajících se přepravy nebezpečných věcí a způsobu jeho vyplňování (orig. </w:t>
      </w:r>
      <w:r w:rsidRPr="003513C3">
        <w:rPr>
          <w:rFonts w:ascii="Times New Roman" w:eastAsiaTheme="majorEastAsia" w:hAnsi="Times New Roman"/>
          <w:i/>
          <w:sz w:val="24"/>
        </w:rPr>
        <w:t>Rozporządzenie Ministra Infrastruktury w sprawie wzoru formularza rocznego sprawozdania z działalności w zakresie przewozu towarów niebezpiecznych oraz sposobu jego wypełniania</w:t>
      </w:r>
      <w:r w:rsidRPr="003513C3">
        <w:rPr>
          <w:rFonts w:ascii="Times New Roman" w:eastAsiaTheme="majorEastAsia" w:hAnsi="Times New Roman"/>
          <w:sz w:val="24"/>
        </w:rPr>
        <w:t>).</w:t>
      </w:r>
    </w:p>
    <w:p w:rsidR="003513C3" w:rsidRPr="003513C3" w:rsidRDefault="003513C3" w:rsidP="003513C3">
      <w:pPr>
        <w:spacing w:after="0"/>
        <w:ind w:firstLine="284"/>
      </w:pPr>
      <w:r w:rsidRPr="003513C3">
        <w:rPr>
          <w:rFonts w:eastAsiaTheme="majorEastAsia"/>
        </w:rPr>
        <w:t xml:space="preserve">Internet: </w:t>
      </w:r>
      <w:hyperlink r:id="rId97" w:history="1">
        <w:r w:rsidRPr="003513C3">
          <w:rPr>
            <w:rStyle w:val="Hypertextovodkaz"/>
            <w:rFonts w:eastAsiaTheme="majorEastAsia"/>
          </w:rPr>
          <w:t>http://bip.transport.gov.pl/pl/bip/akty_prawne/transport_kolejowy/rozporzadzenia/akty_wykonawcze_do_ustawy_z_dnia_31_marca_2004_r._o_przewozie_koleja_towarow_niebezpiecznych/rozp._mi_z_dnia_1_maja_2004_r._w_sprawie_wzoru_formularza_rocznego_sprawozdania_z_dzialalnosci_w_zakresie_przewozu_towarow_niebezpiecznych_oraz_sposobu_jego_wypelniania/px_art.32_ust.3_ustawy_o_przew.kol.tow.niebep..pdf</w:t>
        </w:r>
      </w:hyperlink>
    </w:p>
    <w:p w:rsidR="003513C3" w:rsidRPr="003513C3" w:rsidRDefault="003513C3" w:rsidP="003513C3">
      <w:pPr>
        <w:ind w:firstLine="284"/>
        <w:rPr>
          <w:rFonts w:eastAsiaTheme="majorEastAsia"/>
        </w:rPr>
      </w:pPr>
      <w:r w:rsidRPr="003513C3">
        <w:t>Soubor: PL-06-px_art_32_ust_3_ustawy_o_przew_kol_tow_niebep.pdf</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přepravitelných tlakových zařízeních (orig. </w:t>
      </w:r>
      <w:r w:rsidRPr="003513C3">
        <w:rPr>
          <w:rFonts w:ascii="Times New Roman" w:eastAsiaTheme="majorEastAsia" w:hAnsi="Times New Roman"/>
          <w:i/>
          <w:sz w:val="24"/>
        </w:rPr>
        <w:t>Rozporządzenie Ministra Infrastruktury w sprawie ciśnieniowych urządzeń transportowych</w:t>
      </w:r>
      <w:r w:rsidRPr="003513C3">
        <w:rPr>
          <w:rFonts w:ascii="Times New Roman" w:eastAsiaTheme="majorEastAsia" w:hAnsi="Times New Roman"/>
          <w:sz w:val="24"/>
        </w:rPr>
        <w:t>).</w:t>
      </w:r>
    </w:p>
    <w:p w:rsidR="003513C3" w:rsidRPr="003513C3" w:rsidRDefault="003513C3" w:rsidP="003513C3">
      <w:pPr>
        <w:spacing w:after="0"/>
        <w:ind w:firstLine="284"/>
      </w:pPr>
      <w:r w:rsidRPr="003513C3">
        <w:rPr>
          <w:rFonts w:eastAsiaTheme="majorEastAsia"/>
        </w:rPr>
        <w:t xml:space="preserve">Internet: </w:t>
      </w:r>
      <w:hyperlink r:id="rId98" w:history="1">
        <w:r w:rsidRPr="003513C3">
          <w:rPr>
            <w:rStyle w:val="Hypertextovodkaz"/>
            <w:rFonts w:eastAsiaTheme="majorEastAsia"/>
          </w:rPr>
          <w:t>http://bip.transport.gov.pl/pl/bip/akty_prawne/transport_kolejowy/rozporzadzenia/akty_wykonawcze_do_ustawy_z_dnia_31_marca_2004_r._o_przewozie_koleja_towarow_niebezpiecznych/rozp._mi_z_dnia_26_sierpnia_2004_r._w_sprawie_cisnieniowych_urzadzen_transportowych/px_art.29_ustawy_ustawy_o_przew.kol.tow.niebep..pdf</w:t>
        </w:r>
      </w:hyperlink>
    </w:p>
    <w:p w:rsidR="003513C3" w:rsidRPr="003513C3" w:rsidRDefault="003513C3" w:rsidP="003513C3">
      <w:pPr>
        <w:ind w:firstLine="284"/>
        <w:rPr>
          <w:rFonts w:eastAsiaTheme="majorEastAsia"/>
        </w:rPr>
      </w:pPr>
      <w:r w:rsidRPr="003513C3">
        <w:t>Soubor: PL-07-px_art_29_ustawy_ustawy_o_przew_kol_tow_niebep.pdf</w:t>
      </w:r>
    </w:p>
    <w:p w:rsidR="003513C3" w:rsidRPr="00F95F36" w:rsidRDefault="003513C3" w:rsidP="003513C3">
      <w:pPr>
        <w:pStyle w:val="Nadpis5"/>
        <w:rPr>
          <w:rFonts w:ascii="Times New Roman" w:eastAsiaTheme="majorEastAsia" w:hAnsi="Times New Roman"/>
          <w:i w:val="0"/>
          <w:sz w:val="24"/>
        </w:rPr>
      </w:pPr>
      <w:r w:rsidRPr="003513C3">
        <w:rPr>
          <w:rFonts w:eastAsiaTheme="majorEastAsia"/>
        </w:rPr>
        <w:br w:type="column"/>
      </w:r>
      <w:r w:rsidRPr="00F95F36">
        <w:rPr>
          <w:rFonts w:ascii="Times New Roman" w:eastAsiaTheme="majorEastAsia" w:hAnsi="Times New Roman"/>
          <w:i w:val="0"/>
          <w:sz w:val="24"/>
        </w:rPr>
        <w:lastRenderedPageBreak/>
        <w:t>Vodní doprava</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předávání informací majitelem plavidla převážejícího nebezpečné nebo znečišťující zboží (orig. </w:t>
      </w:r>
      <w:r w:rsidRPr="003513C3">
        <w:rPr>
          <w:rFonts w:ascii="Times New Roman" w:eastAsiaTheme="majorEastAsia" w:hAnsi="Times New Roman"/>
          <w:i/>
          <w:sz w:val="24"/>
        </w:rPr>
        <w:t>Rozporządzenie Ministra Infrastruktury w sprawie przekazywania informacji przez armatora statku przewożącego ładunki niebezpieczne lub zanieczyszczające</w:t>
      </w:r>
      <w:r w:rsidRPr="003513C3">
        <w:rPr>
          <w:rFonts w:ascii="Times New Roman" w:eastAsiaTheme="majorEastAsia" w:hAnsi="Times New Roman"/>
          <w:sz w:val="24"/>
        </w:rPr>
        <w:t>) – týká se pouze námořní plavby.</w:t>
      </w:r>
    </w:p>
    <w:p w:rsidR="003513C3" w:rsidRPr="003513C3" w:rsidRDefault="003513C3" w:rsidP="003513C3">
      <w:pPr>
        <w:spacing w:after="0"/>
        <w:ind w:firstLine="284"/>
      </w:pPr>
      <w:r w:rsidRPr="003513C3">
        <w:rPr>
          <w:rFonts w:eastAsiaTheme="majorEastAsia"/>
        </w:rPr>
        <w:t xml:space="preserve">Internet: </w:t>
      </w:r>
      <w:hyperlink r:id="rId99" w:history="1">
        <w:r w:rsidRPr="003513C3">
          <w:rPr>
            <w:rStyle w:val="Hypertextovodkaz"/>
            <w:rFonts w:eastAsiaTheme="majorEastAsia"/>
          </w:rPr>
          <w:t>http://bip.transport.gov.pl/pl/bip/akty_prawne/transport_morski/rozporzadzenia/roz_info_o_lad._niebzep./px_info_o_lad._niebezp..pdf</w:t>
        </w:r>
      </w:hyperlink>
    </w:p>
    <w:p w:rsidR="003513C3" w:rsidRPr="003513C3" w:rsidRDefault="003513C3" w:rsidP="003513C3">
      <w:pPr>
        <w:ind w:left="567" w:hanging="283"/>
      </w:pPr>
      <w:r w:rsidRPr="003513C3">
        <w:t>Soubor: PL-08-px_info_o_lad_niebezp.pdf</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přepravě nebezpečných věcí s využitím vnitrozemské lodní dopravy (orig. </w:t>
      </w:r>
      <w:r w:rsidRPr="003513C3">
        <w:rPr>
          <w:rFonts w:ascii="Times New Roman" w:eastAsiaTheme="majorEastAsia" w:hAnsi="Times New Roman"/>
          <w:i/>
          <w:sz w:val="24"/>
        </w:rPr>
        <w:t>Rozporządzenie Ministra Infrastruktury w sprawie przewozu materiałów niebezpiecznych statkami żeglugi śródlądowej</w:t>
      </w:r>
      <w:r w:rsidRPr="003513C3">
        <w:rPr>
          <w:rFonts w:ascii="Times New Roman" w:eastAsiaTheme="majorEastAsia" w:hAnsi="Times New Roman"/>
          <w:sz w:val="24"/>
        </w:rPr>
        <w:t>).</w:t>
      </w:r>
    </w:p>
    <w:p w:rsidR="003513C3" w:rsidRPr="003513C3" w:rsidRDefault="003513C3" w:rsidP="003513C3">
      <w:pPr>
        <w:spacing w:after="0"/>
        <w:ind w:left="568" w:hanging="284"/>
      </w:pPr>
      <w:r w:rsidRPr="003513C3">
        <w:rPr>
          <w:rFonts w:eastAsiaTheme="majorEastAsia"/>
        </w:rPr>
        <w:t xml:space="preserve">Internet: </w:t>
      </w:r>
      <w:hyperlink r:id="rId100" w:history="1">
        <w:r w:rsidRPr="003513C3">
          <w:rPr>
            <w:rStyle w:val="Hypertextovodkaz"/>
            <w:rFonts w:eastAsiaTheme="majorEastAsia"/>
          </w:rPr>
          <w:t>http://isap.sejm.gov.pl/Download?id=WDU20040880839&amp;type=2</w:t>
        </w:r>
      </w:hyperlink>
    </w:p>
    <w:p w:rsidR="003513C3" w:rsidRPr="003513C3" w:rsidRDefault="003513C3" w:rsidP="003513C3">
      <w:pPr>
        <w:ind w:left="567" w:hanging="283"/>
      </w:pPr>
      <w:r w:rsidRPr="003513C3">
        <w:t>Soubor: PL-09-D20040839.pdf</w:t>
      </w:r>
    </w:p>
    <w:p w:rsidR="003513C3" w:rsidRPr="003513C3" w:rsidRDefault="003513C3" w:rsidP="003513C3">
      <w:pPr>
        <w:pStyle w:val="Odstavecseseznamem"/>
        <w:numPr>
          <w:ilvl w:val="0"/>
          <w:numId w:val="41"/>
        </w:numPr>
        <w:ind w:left="567" w:hanging="283"/>
        <w:jc w:val="both"/>
        <w:rPr>
          <w:rFonts w:ascii="Times New Roman" w:eastAsiaTheme="majorEastAsia" w:hAnsi="Times New Roman"/>
          <w:sz w:val="24"/>
        </w:rPr>
      </w:pPr>
      <w:r w:rsidRPr="003513C3">
        <w:rPr>
          <w:rFonts w:ascii="Times New Roman" w:eastAsiaTheme="majorEastAsia" w:hAnsi="Times New Roman"/>
          <w:sz w:val="24"/>
        </w:rPr>
        <w:t xml:space="preserve">Vyhláška o osvědčení bezpečnostního poradce pro přepravu nebezpečných věcí s využitím vnitrozemské lodní dopravy (orig. </w:t>
      </w:r>
      <w:r w:rsidRPr="003513C3">
        <w:rPr>
          <w:rFonts w:ascii="Times New Roman" w:eastAsiaTheme="majorEastAsia" w:hAnsi="Times New Roman"/>
          <w:i/>
          <w:sz w:val="24"/>
        </w:rPr>
        <w:t>Rozporządzenie Ministra Infrastruktury w sprawie świadectwa doradcy do spraw bezpieczeństwa przewozu materiałów niebezpiecznych</w:t>
      </w:r>
      <w:r w:rsidRPr="003513C3">
        <w:rPr>
          <w:rFonts w:ascii="Times New Roman" w:eastAsiaTheme="majorEastAsia" w:hAnsi="Times New Roman"/>
          <w:sz w:val="24"/>
        </w:rPr>
        <w:t>).</w:t>
      </w:r>
    </w:p>
    <w:p w:rsidR="003513C3" w:rsidRPr="003513C3" w:rsidRDefault="003513C3" w:rsidP="003513C3">
      <w:pPr>
        <w:spacing w:after="0"/>
        <w:ind w:left="568" w:hanging="284"/>
      </w:pPr>
      <w:r w:rsidRPr="003513C3">
        <w:rPr>
          <w:rFonts w:eastAsiaTheme="majorEastAsia"/>
        </w:rPr>
        <w:t xml:space="preserve">Internet: </w:t>
      </w:r>
      <w:hyperlink r:id="rId101" w:history="1">
        <w:r w:rsidRPr="003513C3">
          <w:rPr>
            <w:rStyle w:val="Hypertextovodkaz"/>
            <w:rFonts w:eastAsiaTheme="majorEastAsia"/>
          </w:rPr>
          <w:t>http://isap.sejm.gov.pl/DetailsServlet?id=WDU20042222256</w:t>
        </w:r>
      </w:hyperlink>
    </w:p>
    <w:p w:rsidR="003513C3" w:rsidRPr="003513C3" w:rsidRDefault="003513C3" w:rsidP="003513C3">
      <w:pPr>
        <w:ind w:left="567" w:hanging="283"/>
      </w:pPr>
      <w:r w:rsidRPr="003513C3">
        <w:t>Soubor: PL-10-D20042256.pdf</w:t>
      </w:r>
    </w:p>
    <w:p w:rsidR="003513C3" w:rsidRPr="00F95F36" w:rsidRDefault="003513C3" w:rsidP="003513C3">
      <w:pPr>
        <w:pStyle w:val="Nadpis3"/>
        <w:rPr>
          <w:rFonts w:ascii="Times New Roman" w:eastAsiaTheme="majorEastAsia" w:hAnsi="Times New Roman"/>
          <w:sz w:val="28"/>
        </w:rPr>
      </w:pPr>
      <w:bookmarkStart w:id="35" w:name="_Toc321301293"/>
      <w:bookmarkStart w:id="36" w:name="_Toc326741511"/>
      <w:r w:rsidRPr="00F95F36">
        <w:rPr>
          <w:rFonts w:ascii="Times New Roman" w:eastAsiaTheme="majorEastAsia" w:hAnsi="Times New Roman"/>
          <w:sz w:val="28"/>
        </w:rPr>
        <w:t>Dokumenty vládního Centra dokonalosti MANHAZ</w:t>
      </w:r>
      <w:bookmarkEnd w:id="35"/>
      <w:bookmarkEnd w:id="36"/>
    </w:p>
    <w:p w:rsidR="003513C3" w:rsidRPr="00F95F36" w:rsidRDefault="003513C3" w:rsidP="003513C3">
      <w:pPr>
        <w:pStyle w:val="Nadpis4"/>
        <w:rPr>
          <w:rFonts w:ascii="Times New Roman" w:eastAsiaTheme="majorEastAsia" w:hAnsi="Times New Roman"/>
        </w:rPr>
      </w:pPr>
      <w:bookmarkStart w:id="37" w:name="_Toc321301294"/>
      <w:bookmarkStart w:id="38" w:name="_Toc326741512"/>
      <w:r w:rsidRPr="00F95F36">
        <w:rPr>
          <w:rFonts w:ascii="Times New Roman" w:eastAsiaTheme="majorEastAsia" w:hAnsi="Times New Roman"/>
        </w:rPr>
        <w:t xml:space="preserve">Monografie „Systém managementu rizika pro lidi a prostředí spojený se železniční dopravou nebezpečných chemikálií realizovaný v rámci projektu </w:t>
      </w:r>
      <w:r w:rsidR="00F95F36">
        <w:rPr>
          <w:rFonts w:ascii="Times New Roman" w:eastAsiaTheme="majorEastAsia" w:hAnsi="Times New Roman"/>
          <w:i/>
        </w:rPr>
        <w:t>Zvýšení bezpečnosti</w:t>
      </w:r>
      <w:r w:rsidRPr="00F95F36">
        <w:rPr>
          <w:rFonts w:ascii="Times New Roman" w:eastAsiaTheme="majorEastAsia" w:hAnsi="Times New Roman"/>
          <w:i/>
        </w:rPr>
        <w:t xml:space="preserve"> a podmínek práce</w:t>
      </w:r>
      <w:r w:rsidRPr="00F95F36">
        <w:rPr>
          <w:rFonts w:ascii="Times New Roman" w:eastAsiaTheme="majorEastAsia" w:hAnsi="Times New Roman"/>
        </w:rPr>
        <w:t>“</w:t>
      </w:r>
      <w:bookmarkEnd w:id="37"/>
      <w:bookmarkEnd w:id="38"/>
    </w:p>
    <w:p w:rsidR="003513C3" w:rsidRPr="003513C3" w:rsidRDefault="003513C3" w:rsidP="003513C3">
      <w:pPr>
        <w:ind w:firstLine="284"/>
        <w:rPr>
          <w:rFonts w:eastAsiaTheme="majorEastAsia"/>
        </w:rPr>
      </w:pPr>
      <w:r w:rsidRPr="003513C3">
        <w:rPr>
          <w:rFonts w:eastAsiaTheme="majorEastAsia"/>
        </w:rPr>
        <w:t>Monografie je složena ze tří částí odpovídajících třem etapám realizace projektu. Detailně popisuje teoretická pravidla a způsob návrhu systému. Neobsahuje konkrétní realizaci.</w:t>
      </w:r>
    </w:p>
    <w:p w:rsidR="003513C3" w:rsidRPr="003513C3" w:rsidRDefault="003513C3" w:rsidP="003513C3">
      <w:pPr>
        <w:spacing w:after="0"/>
        <w:ind w:firstLine="284"/>
        <w:rPr>
          <w:rFonts w:eastAsiaTheme="majorEastAsia"/>
        </w:rPr>
      </w:pPr>
      <w:r w:rsidRPr="003513C3">
        <w:rPr>
          <w:rFonts w:eastAsiaTheme="majorEastAsia"/>
        </w:rPr>
        <w:t xml:space="preserve">Internet: </w:t>
      </w:r>
      <w:hyperlink r:id="rId102" w:history="1">
        <w:r w:rsidRPr="003513C3">
          <w:rPr>
            <w:rStyle w:val="Hypertextovodkaz"/>
            <w:rFonts w:eastAsiaTheme="majorEastAsia"/>
          </w:rPr>
          <w:t>http://manhaz.cyf.gov.pl/zpr/ciop_pl.html</w:t>
        </w:r>
      </w:hyperlink>
    </w:p>
    <w:p w:rsidR="003513C3" w:rsidRPr="003513C3" w:rsidRDefault="003513C3" w:rsidP="003513C3">
      <w:pPr>
        <w:ind w:firstLine="284"/>
        <w:rPr>
          <w:rFonts w:eastAsiaTheme="majorEastAsia"/>
        </w:rPr>
      </w:pPr>
      <w:r w:rsidRPr="003513C3">
        <w:rPr>
          <w:rFonts w:eastAsiaTheme="majorEastAsia"/>
        </w:rPr>
        <w:t>Soubor: PL-11-Monografie.zip (obsahuje více pdf-souborů)</w:t>
      </w:r>
    </w:p>
    <w:p w:rsidR="003513C3" w:rsidRPr="003513C3" w:rsidRDefault="003513C3" w:rsidP="003513C3">
      <w:pPr>
        <w:ind w:firstLine="284"/>
        <w:rPr>
          <w:rFonts w:eastAsiaTheme="majorEastAsia"/>
        </w:rPr>
      </w:pPr>
      <w:r w:rsidRPr="003513C3">
        <w:rPr>
          <w:rFonts w:eastAsiaTheme="majorEastAsia"/>
        </w:rPr>
        <w:t xml:space="preserve">Internet: </w:t>
      </w:r>
      <w:r>
        <w:rPr>
          <w:rFonts w:eastAsiaTheme="majorEastAsia"/>
        </w:rPr>
        <w:t>interakti</w:t>
      </w:r>
      <w:r w:rsidRPr="003513C3">
        <w:rPr>
          <w:rFonts w:eastAsiaTheme="majorEastAsia"/>
        </w:rPr>
        <w:t>vní blokové schéma (v polštině) systému napojené na příslušné části monografie:</w:t>
      </w:r>
    </w:p>
    <w:p w:rsidR="003513C3" w:rsidRPr="003513C3" w:rsidRDefault="00107CBA" w:rsidP="003513C3">
      <w:pPr>
        <w:rPr>
          <w:rFonts w:eastAsiaTheme="majorEastAsia"/>
        </w:rPr>
      </w:pPr>
      <w:hyperlink r:id="rId103" w:history="1">
        <w:r w:rsidR="003513C3" w:rsidRPr="003513C3">
          <w:rPr>
            <w:rStyle w:val="Hypertextovodkaz"/>
            <w:rFonts w:eastAsiaTheme="majorEastAsia"/>
          </w:rPr>
          <w:t>http://manhaz.cyf.gov.pl/zpr/schemat.htm</w:t>
        </w:r>
      </w:hyperlink>
    </w:p>
    <w:p w:rsidR="003513C3" w:rsidRPr="00F95F36" w:rsidRDefault="003513C3" w:rsidP="003513C3">
      <w:pPr>
        <w:pStyle w:val="Nadpis4"/>
        <w:rPr>
          <w:rFonts w:ascii="Times New Roman" w:eastAsiaTheme="majorEastAsia" w:hAnsi="Times New Roman"/>
        </w:rPr>
      </w:pPr>
      <w:bookmarkStart w:id="39" w:name="_Toc321301295"/>
      <w:bookmarkStart w:id="40" w:name="_Toc326741513"/>
      <w:r w:rsidRPr="00F95F36">
        <w:rPr>
          <w:rFonts w:ascii="Times New Roman" w:eastAsiaTheme="majorEastAsia" w:hAnsi="Times New Roman"/>
        </w:rPr>
        <w:t>Databáze (seznam) nebezpečných látek</w:t>
      </w:r>
      <w:bookmarkEnd w:id="39"/>
      <w:bookmarkEnd w:id="40"/>
    </w:p>
    <w:p w:rsidR="003513C3" w:rsidRPr="003513C3" w:rsidRDefault="003513C3" w:rsidP="003513C3">
      <w:pPr>
        <w:ind w:firstLine="284"/>
        <w:rPr>
          <w:rFonts w:eastAsiaTheme="majorEastAsia"/>
        </w:rPr>
      </w:pPr>
      <w:r w:rsidRPr="003513C3">
        <w:rPr>
          <w:rFonts w:eastAsiaTheme="majorEastAsia"/>
        </w:rPr>
        <w:t>Databáze obsahuje popis nebezpečných látek z hlediska různých názvů, fyzikálně chemických údajů, údajů o hořlavosti, výbušnosti a toxičnosti a působení na člověka.</w:t>
      </w:r>
    </w:p>
    <w:p w:rsidR="003513C3" w:rsidRPr="003513C3" w:rsidRDefault="003513C3" w:rsidP="003513C3">
      <w:pPr>
        <w:ind w:firstLine="284"/>
        <w:rPr>
          <w:rFonts w:eastAsiaTheme="majorEastAsia"/>
        </w:rPr>
      </w:pPr>
      <w:r w:rsidRPr="003513C3">
        <w:rPr>
          <w:rFonts w:eastAsiaTheme="majorEastAsia"/>
        </w:rPr>
        <w:t xml:space="preserve">Internet: </w:t>
      </w:r>
      <w:hyperlink r:id="rId104" w:history="1">
        <w:r w:rsidRPr="003513C3">
          <w:rPr>
            <w:rStyle w:val="Hypertextovodkaz"/>
            <w:rFonts w:eastAsiaTheme="majorEastAsia"/>
          </w:rPr>
          <w:t>http://manhaz.cyf.gov.pl/manhaz/substancje_niebezpieczne/default.htm</w:t>
        </w:r>
      </w:hyperlink>
    </w:p>
    <w:p w:rsidR="003513C3" w:rsidRPr="00F95F36" w:rsidRDefault="003513C3" w:rsidP="003513C3">
      <w:pPr>
        <w:pStyle w:val="Nadpis4"/>
        <w:rPr>
          <w:rFonts w:ascii="Times New Roman" w:eastAsiaTheme="majorEastAsia" w:hAnsi="Times New Roman"/>
        </w:rPr>
      </w:pPr>
      <w:bookmarkStart w:id="41" w:name="_Toc321301296"/>
      <w:bookmarkStart w:id="42" w:name="_Toc326741514"/>
      <w:r w:rsidRPr="00F95F36">
        <w:rPr>
          <w:rFonts w:ascii="Times New Roman" w:eastAsiaTheme="majorEastAsia" w:hAnsi="Times New Roman"/>
        </w:rPr>
        <w:t>Databáze „Zásady záchranných postupů”</w:t>
      </w:r>
      <w:bookmarkEnd w:id="41"/>
      <w:bookmarkEnd w:id="42"/>
    </w:p>
    <w:p w:rsidR="003513C3" w:rsidRPr="003513C3" w:rsidRDefault="003513C3" w:rsidP="003513C3">
      <w:pPr>
        <w:ind w:firstLine="284"/>
        <w:rPr>
          <w:rFonts w:eastAsiaTheme="majorEastAsia"/>
        </w:rPr>
      </w:pPr>
      <w:r w:rsidRPr="003513C3">
        <w:rPr>
          <w:rFonts w:eastAsiaTheme="majorEastAsia"/>
        </w:rPr>
        <w:t xml:space="preserve">Internet: </w:t>
      </w:r>
      <w:hyperlink r:id="rId105" w:history="1">
        <w:r w:rsidRPr="003513C3">
          <w:rPr>
            <w:rStyle w:val="Hypertextovodkaz"/>
            <w:rFonts w:eastAsiaTheme="majorEastAsia"/>
          </w:rPr>
          <w:t>http://manhaz.cyf.gov.pl/zpr/</w:t>
        </w:r>
      </w:hyperlink>
    </w:p>
    <w:p w:rsidR="003513C3" w:rsidRDefault="003513C3" w:rsidP="003513C3">
      <w:pPr>
        <w:ind w:firstLine="284"/>
        <w:rPr>
          <w:rFonts w:eastAsiaTheme="majorEastAsia"/>
        </w:rPr>
      </w:pPr>
      <w:r w:rsidRPr="003513C3">
        <w:rPr>
          <w:rFonts w:eastAsiaTheme="majorEastAsia"/>
        </w:rPr>
        <w:t>Databáze je složena z několika součástí:</w:t>
      </w:r>
    </w:p>
    <w:p w:rsidR="00F95F36" w:rsidRPr="003513C3" w:rsidRDefault="00F95F36" w:rsidP="003513C3">
      <w:pPr>
        <w:ind w:firstLine="284"/>
        <w:rPr>
          <w:rFonts w:eastAsiaTheme="majorEastAsia"/>
        </w:rPr>
      </w:pPr>
    </w:p>
    <w:p w:rsidR="003513C3" w:rsidRPr="00F95F36" w:rsidRDefault="003513C3" w:rsidP="003513C3">
      <w:pPr>
        <w:pStyle w:val="Nadpis5"/>
        <w:rPr>
          <w:rFonts w:ascii="Times New Roman" w:eastAsiaTheme="majorEastAsia" w:hAnsi="Times New Roman"/>
          <w:i w:val="0"/>
          <w:sz w:val="24"/>
        </w:rPr>
      </w:pPr>
      <w:r w:rsidRPr="00F95F36">
        <w:rPr>
          <w:rFonts w:ascii="Times New Roman" w:eastAsiaTheme="majorEastAsia" w:hAnsi="Times New Roman"/>
          <w:i w:val="0"/>
          <w:sz w:val="24"/>
        </w:rPr>
        <w:lastRenderedPageBreak/>
        <w:t>Nebezpečné látky</w:t>
      </w:r>
    </w:p>
    <w:p w:rsidR="003513C3" w:rsidRPr="003513C3" w:rsidRDefault="003513C3" w:rsidP="003513C3">
      <w:pPr>
        <w:ind w:firstLine="284"/>
        <w:rPr>
          <w:rFonts w:eastAsiaTheme="majorEastAsia"/>
        </w:rPr>
      </w:pPr>
      <w:r w:rsidRPr="003513C3">
        <w:rPr>
          <w:rFonts w:eastAsiaTheme="majorEastAsia"/>
        </w:rPr>
        <w:t>Databáze podobná popsané v odstavci 2.2.2, obsahuje navíc přesnější číseln</w:t>
      </w:r>
      <w:r w:rsidR="00EF51E5">
        <w:rPr>
          <w:rFonts w:eastAsiaTheme="majorEastAsia"/>
        </w:rPr>
        <w:t>é</w:t>
      </w:r>
      <w:r w:rsidRPr="003513C3">
        <w:rPr>
          <w:rFonts w:eastAsiaTheme="majorEastAsia"/>
        </w:rPr>
        <w:t xml:space="preserve"> údaje o ob</w:t>
      </w:r>
      <w:r w:rsidR="00EF51E5">
        <w:rPr>
          <w:rFonts w:eastAsiaTheme="majorEastAsia"/>
        </w:rPr>
        <w:t>lasti působnosti a nebezpečí (rá</w:t>
      </w:r>
      <w:r w:rsidRPr="003513C3">
        <w:rPr>
          <w:rFonts w:eastAsiaTheme="majorEastAsia"/>
        </w:rPr>
        <w:t>dius atd.).</w:t>
      </w:r>
    </w:p>
    <w:p w:rsidR="003513C3" w:rsidRPr="003513C3" w:rsidRDefault="003513C3" w:rsidP="003513C3">
      <w:pPr>
        <w:ind w:firstLine="284"/>
        <w:rPr>
          <w:rFonts w:eastAsiaTheme="majorEastAsia"/>
        </w:rPr>
      </w:pPr>
      <w:r w:rsidRPr="003513C3">
        <w:rPr>
          <w:rFonts w:eastAsiaTheme="majorEastAsia"/>
        </w:rPr>
        <w:t xml:space="preserve">Internet: </w:t>
      </w:r>
      <w:hyperlink r:id="rId106" w:history="1">
        <w:r w:rsidRPr="003513C3">
          <w:rPr>
            <w:rStyle w:val="Hypertextovodkaz"/>
            <w:rFonts w:eastAsiaTheme="majorEastAsia"/>
          </w:rPr>
          <w:t>http://manhaz.cyf.gov.pl/zpr/niebezpieczne_materialy.php</w:t>
        </w:r>
      </w:hyperlink>
    </w:p>
    <w:p w:rsidR="003513C3" w:rsidRPr="00F95F36" w:rsidRDefault="003513C3" w:rsidP="003513C3">
      <w:pPr>
        <w:pStyle w:val="Nadpis5"/>
        <w:rPr>
          <w:rFonts w:ascii="Times New Roman" w:eastAsiaTheme="majorEastAsia" w:hAnsi="Times New Roman"/>
          <w:i w:val="0"/>
          <w:sz w:val="24"/>
        </w:rPr>
      </w:pPr>
      <w:r w:rsidRPr="00F95F36">
        <w:rPr>
          <w:rFonts w:ascii="Times New Roman" w:eastAsiaTheme="majorEastAsia" w:hAnsi="Times New Roman"/>
          <w:i w:val="0"/>
          <w:sz w:val="24"/>
        </w:rPr>
        <w:t>Procedury záchrany</w:t>
      </w:r>
    </w:p>
    <w:p w:rsidR="003513C3" w:rsidRPr="003513C3" w:rsidRDefault="003513C3" w:rsidP="003513C3">
      <w:pPr>
        <w:ind w:firstLine="284"/>
        <w:rPr>
          <w:rFonts w:eastAsiaTheme="majorEastAsia"/>
        </w:rPr>
      </w:pPr>
      <w:r w:rsidRPr="003513C3">
        <w:rPr>
          <w:rFonts w:eastAsiaTheme="majorEastAsia"/>
        </w:rPr>
        <w:t>Popis záchranného postupu dle charakteru ohrožení. Obsahuje údaje o nutném ochranném oblečení, možných ohroženích daným druhém látky, postup evakuace, způsob poskytování první pomoci a jiné.</w:t>
      </w:r>
    </w:p>
    <w:p w:rsidR="003513C3" w:rsidRPr="003513C3" w:rsidRDefault="003513C3" w:rsidP="003513C3">
      <w:pPr>
        <w:ind w:firstLine="284"/>
        <w:rPr>
          <w:rFonts w:eastAsiaTheme="majorEastAsia"/>
        </w:rPr>
      </w:pPr>
      <w:r w:rsidRPr="003513C3">
        <w:rPr>
          <w:rFonts w:eastAsiaTheme="majorEastAsia"/>
        </w:rPr>
        <w:t xml:space="preserve">Internet: </w:t>
      </w:r>
      <w:hyperlink r:id="rId107" w:history="1">
        <w:r w:rsidRPr="003513C3">
          <w:rPr>
            <w:rStyle w:val="Hypertextovodkaz"/>
            <w:rFonts w:eastAsiaTheme="majorEastAsia"/>
          </w:rPr>
          <w:t>http://manhaz.cyf.gov.pl/zpr/procedura.php</w:t>
        </w:r>
      </w:hyperlink>
    </w:p>
    <w:p w:rsidR="003513C3" w:rsidRPr="00F95F36" w:rsidRDefault="003513C3" w:rsidP="003513C3">
      <w:pPr>
        <w:pStyle w:val="Nadpis5"/>
        <w:rPr>
          <w:rFonts w:ascii="Times New Roman" w:eastAsiaTheme="majorEastAsia" w:hAnsi="Times New Roman"/>
          <w:i w:val="0"/>
          <w:sz w:val="24"/>
        </w:rPr>
      </w:pPr>
      <w:r w:rsidRPr="00F95F36">
        <w:rPr>
          <w:rFonts w:ascii="Times New Roman" w:eastAsiaTheme="majorEastAsia" w:hAnsi="Times New Roman"/>
          <w:i w:val="0"/>
          <w:sz w:val="24"/>
        </w:rPr>
        <w:t>Zóny ohrožení</w:t>
      </w:r>
    </w:p>
    <w:p w:rsidR="003513C3" w:rsidRPr="003513C3" w:rsidRDefault="003513C3" w:rsidP="003513C3">
      <w:pPr>
        <w:ind w:firstLine="284"/>
        <w:rPr>
          <w:rFonts w:eastAsiaTheme="majorEastAsia"/>
        </w:rPr>
      </w:pPr>
      <w:r w:rsidRPr="003513C3">
        <w:rPr>
          <w:rFonts w:eastAsiaTheme="majorEastAsia"/>
        </w:rPr>
        <w:t>Souhrn číselných údajů o zónách ohrožení jednotlivých látek.</w:t>
      </w:r>
    </w:p>
    <w:p w:rsidR="003513C3" w:rsidRPr="003513C3" w:rsidRDefault="003513C3" w:rsidP="003513C3">
      <w:pPr>
        <w:ind w:firstLine="284"/>
        <w:rPr>
          <w:rFonts w:eastAsiaTheme="majorEastAsia"/>
        </w:rPr>
      </w:pPr>
      <w:r w:rsidRPr="003513C3">
        <w:rPr>
          <w:rFonts w:eastAsiaTheme="majorEastAsia"/>
        </w:rPr>
        <w:t xml:space="preserve">Internet: </w:t>
      </w:r>
      <w:hyperlink r:id="rId108" w:history="1">
        <w:r w:rsidRPr="003513C3">
          <w:rPr>
            <w:rStyle w:val="Hypertextovodkaz"/>
            <w:rFonts w:eastAsiaTheme="majorEastAsia"/>
          </w:rPr>
          <w:t>http://manhaz.cyf.gov.pl/zpr/strefy_zagrozen.php</w:t>
        </w:r>
      </w:hyperlink>
    </w:p>
    <w:p w:rsidR="003513C3" w:rsidRPr="00F95F36" w:rsidRDefault="003513C3" w:rsidP="003513C3">
      <w:pPr>
        <w:pStyle w:val="Nadpis3"/>
        <w:rPr>
          <w:rFonts w:ascii="Times New Roman" w:eastAsiaTheme="majorEastAsia" w:hAnsi="Times New Roman"/>
          <w:sz w:val="28"/>
        </w:rPr>
      </w:pPr>
      <w:bookmarkStart w:id="43" w:name="_Toc320038673"/>
      <w:bookmarkStart w:id="44" w:name="_Toc321301297"/>
      <w:bookmarkStart w:id="45" w:name="_Toc326741515"/>
      <w:r w:rsidRPr="00F95F36">
        <w:rPr>
          <w:rFonts w:ascii="Times New Roman" w:eastAsiaTheme="majorEastAsia" w:hAnsi="Times New Roman"/>
          <w:sz w:val="28"/>
        </w:rPr>
        <w:t>Organizace přepravy nebezpečných věcí</w:t>
      </w:r>
      <w:bookmarkEnd w:id="43"/>
      <w:bookmarkEnd w:id="44"/>
      <w:bookmarkEnd w:id="45"/>
    </w:p>
    <w:p w:rsidR="003513C3" w:rsidRPr="00F95F36" w:rsidRDefault="003513C3" w:rsidP="003513C3">
      <w:pPr>
        <w:pStyle w:val="Nadpis4"/>
        <w:rPr>
          <w:rFonts w:ascii="Times New Roman" w:eastAsiaTheme="majorEastAsia" w:hAnsi="Times New Roman"/>
        </w:rPr>
      </w:pPr>
      <w:bookmarkStart w:id="46" w:name="_Toc320038674"/>
      <w:bookmarkStart w:id="47" w:name="_Toc321301298"/>
      <w:bookmarkStart w:id="48" w:name="_Toc326741516"/>
      <w:r w:rsidRPr="00F95F36">
        <w:rPr>
          <w:rFonts w:ascii="Times New Roman" w:eastAsiaTheme="majorEastAsia" w:hAnsi="Times New Roman"/>
        </w:rPr>
        <w:t>Silniční doprava</w:t>
      </w:r>
      <w:bookmarkEnd w:id="46"/>
      <w:bookmarkEnd w:id="47"/>
      <w:bookmarkEnd w:id="48"/>
    </w:p>
    <w:p w:rsidR="003513C3" w:rsidRPr="003513C3" w:rsidRDefault="003513C3" w:rsidP="00F95F36">
      <w:pPr>
        <w:spacing w:before="120"/>
        <w:ind w:firstLine="284"/>
        <w:rPr>
          <w:rFonts w:eastAsiaTheme="majorEastAsia"/>
        </w:rPr>
      </w:pPr>
      <w:r w:rsidRPr="003513C3">
        <w:rPr>
          <w:rFonts w:eastAsiaTheme="majorEastAsia"/>
        </w:rPr>
        <w:t>V Polsku neexistuje jednotný systém sledování nebezpečných nákladů v silniční dopravě. Dopravci mají jedině povinnost nahlásit přepravu nebezpečného zboží hasičské službě a policii. To však dle aktuálních předp</w:t>
      </w:r>
      <w:r w:rsidR="00D3795E">
        <w:rPr>
          <w:rFonts w:eastAsiaTheme="majorEastAsia"/>
        </w:rPr>
        <w:t>i</w:t>
      </w:r>
      <w:r w:rsidRPr="003513C3">
        <w:rPr>
          <w:rFonts w:eastAsiaTheme="majorEastAsia"/>
        </w:rPr>
        <w:t>sů platí jenom do konce června 2012 r. z důvodů zmíněných v kapitole 2.1.1. Kromě této povinnosti kontrola pohybu nebezpečného nákladu není prováděna žádným způsobem.</w:t>
      </w:r>
    </w:p>
    <w:p w:rsidR="003513C3" w:rsidRPr="003513C3" w:rsidRDefault="003513C3" w:rsidP="003513C3">
      <w:pPr>
        <w:ind w:firstLine="284"/>
        <w:rPr>
          <w:rFonts w:eastAsiaTheme="majorEastAsia"/>
        </w:rPr>
      </w:pPr>
      <w:r w:rsidRPr="003513C3">
        <w:rPr>
          <w:rFonts w:eastAsiaTheme="majorEastAsia"/>
        </w:rPr>
        <w:t xml:space="preserve"> Neexistuje také centrální databáze firem oprávněných k přepravě nebezpečných věcí. Každý subjekt, který má zájem mít oprávnění k této přepravě, požádá o souhlas maršálka příslušného vojvodství (za úplatou). Maršálek má povinnost zjistit v ostatních vojvodstvích, zda danému subjektu nebylo oprávnění odebráno a </w:t>
      </w:r>
      <w:r w:rsidR="00EF51E5">
        <w:rPr>
          <w:rFonts w:eastAsiaTheme="majorEastAsia"/>
        </w:rPr>
        <w:t>z jakých důvodů. Po kontrole sp</w:t>
      </w:r>
      <w:r w:rsidRPr="003513C3">
        <w:rPr>
          <w:rFonts w:eastAsiaTheme="majorEastAsia"/>
        </w:rPr>
        <w:t>lnění podmínek se oprávnění vydává.</w:t>
      </w:r>
    </w:p>
    <w:p w:rsidR="003513C3" w:rsidRPr="003513C3" w:rsidRDefault="003513C3" w:rsidP="003513C3">
      <w:pPr>
        <w:ind w:firstLine="284"/>
        <w:rPr>
          <w:rFonts w:eastAsiaTheme="majorEastAsia"/>
        </w:rPr>
      </w:pPr>
      <w:r w:rsidRPr="003513C3">
        <w:rPr>
          <w:rFonts w:eastAsiaTheme="majorEastAsia"/>
        </w:rPr>
        <w:t xml:space="preserve">Zdroj: NKÚ: zpráva o výsledcích kontroly „Konání povinností státní správou v otázce bezpečnosti přepravy nebezpečných věcí“ (orig. </w:t>
      </w:r>
      <w:r w:rsidRPr="003513C3">
        <w:rPr>
          <w:rFonts w:eastAsiaTheme="majorEastAsia"/>
          <w:i/>
        </w:rPr>
        <w:t>NIK: informacja o wynikach kontroli „Wykonywanie zadań przez administrację publiczną w zakresie bezpieczeństwa przewozu towarów niebezpiecznych”</w:t>
      </w:r>
      <w:r w:rsidRPr="003513C3">
        <w:rPr>
          <w:rFonts w:eastAsiaTheme="majorEastAsia"/>
        </w:rPr>
        <w:t>).</w:t>
      </w:r>
    </w:p>
    <w:p w:rsidR="003513C3" w:rsidRPr="003513C3" w:rsidRDefault="003513C3" w:rsidP="003513C3">
      <w:pPr>
        <w:spacing w:after="0"/>
        <w:ind w:firstLine="284"/>
        <w:rPr>
          <w:rFonts w:eastAsiaTheme="majorEastAsia"/>
        </w:rPr>
      </w:pPr>
      <w:r w:rsidRPr="003513C3">
        <w:rPr>
          <w:rFonts w:eastAsiaTheme="majorEastAsia"/>
        </w:rPr>
        <w:t>Internet:</w:t>
      </w:r>
      <w:r w:rsidRPr="003513C3">
        <w:t xml:space="preserve"> </w:t>
      </w:r>
      <w:hyperlink r:id="rId109" w:history="1">
        <w:r w:rsidRPr="003513C3">
          <w:rPr>
            <w:rStyle w:val="Hypertextovodkaz"/>
            <w:rFonts w:eastAsiaTheme="majorEastAsia"/>
          </w:rPr>
          <w:t>http://www.nik.gov.pl/plik/id,3552,vp,4524.pdf</w:t>
        </w:r>
      </w:hyperlink>
    </w:p>
    <w:p w:rsidR="003513C3" w:rsidRPr="003513C3" w:rsidRDefault="003513C3" w:rsidP="003513C3">
      <w:pPr>
        <w:ind w:firstLine="284"/>
        <w:rPr>
          <w:rFonts w:eastAsiaTheme="majorEastAsia"/>
        </w:rPr>
      </w:pPr>
      <w:r w:rsidRPr="003513C3">
        <w:rPr>
          <w:rFonts w:eastAsiaTheme="majorEastAsia"/>
        </w:rPr>
        <w:t>Soubor: PL-12-nik-p-11-061-niebezpieczne-przewozy.pdf</w:t>
      </w:r>
    </w:p>
    <w:p w:rsidR="003513C3" w:rsidRPr="003513C3" w:rsidRDefault="003513C3" w:rsidP="003513C3">
      <w:pPr>
        <w:ind w:firstLine="284"/>
        <w:rPr>
          <w:rFonts w:eastAsiaTheme="majorEastAsia"/>
        </w:rPr>
      </w:pPr>
      <w:r w:rsidRPr="003513C3">
        <w:rPr>
          <w:rFonts w:eastAsiaTheme="majorEastAsia"/>
        </w:rPr>
        <w:t xml:space="preserve">Existuje Centrální evidence vozidel a řidičů (orig. </w:t>
      </w:r>
      <w:r w:rsidRPr="003513C3">
        <w:rPr>
          <w:rFonts w:eastAsiaTheme="majorEastAsia"/>
          <w:i/>
        </w:rPr>
        <w:t>Centralna Ewidencja Pojazdów i Kierowców, CEPiK</w:t>
      </w:r>
      <w:r w:rsidRPr="003513C3">
        <w:rPr>
          <w:rFonts w:eastAsiaTheme="majorEastAsia"/>
        </w:rPr>
        <w:t>). Obsahuje informace o všech řidičích a vozidlech, jež se můžou pohybovat po veřejných silnicích včetně oprávnění/přizpůsobení k přepravě nebezpečných věcí a data jeho vypršení. Přístup k CEPiK mají orgány státní správy a třetí osoby (na požádání).</w:t>
      </w:r>
    </w:p>
    <w:p w:rsidR="003513C3" w:rsidRPr="003513C3" w:rsidRDefault="003513C3" w:rsidP="00A818F8">
      <w:pPr>
        <w:spacing w:after="0"/>
        <w:ind w:firstLine="284"/>
        <w:rPr>
          <w:rFonts w:eastAsiaTheme="majorEastAsia"/>
        </w:rPr>
      </w:pPr>
      <w:r w:rsidRPr="003513C3">
        <w:rPr>
          <w:rFonts w:eastAsiaTheme="majorEastAsia"/>
        </w:rPr>
        <w:t>Zdroj: stránky CEPiK</w:t>
      </w:r>
    </w:p>
    <w:p w:rsidR="003513C3" w:rsidRPr="003513C3" w:rsidRDefault="003513C3" w:rsidP="00A818F8">
      <w:pPr>
        <w:ind w:firstLine="284"/>
        <w:rPr>
          <w:rFonts w:eastAsiaTheme="majorEastAsia"/>
        </w:rPr>
      </w:pPr>
      <w:r w:rsidRPr="003513C3">
        <w:rPr>
          <w:rFonts w:eastAsiaTheme="majorEastAsia"/>
        </w:rPr>
        <w:t xml:space="preserve">Internet: </w:t>
      </w:r>
      <w:hyperlink r:id="rId110" w:history="1">
        <w:r w:rsidRPr="003513C3">
          <w:rPr>
            <w:rStyle w:val="Hypertextovodkaz"/>
            <w:rFonts w:eastAsiaTheme="majorEastAsia"/>
          </w:rPr>
          <w:t>www.cepik.gov.pl</w:t>
        </w:r>
      </w:hyperlink>
    </w:p>
    <w:p w:rsidR="003513C3" w:rsidRPr="003513C3" w:rsidRDefault="003513C3" w:rsidP="00A818F8">
      <w:pPr>
        <w:ind w:firstLine="284"/>
        <w:rPr>
          <w:rFonts w:eastAsiaTheme="majorEastAsia"/>
        </w:rPr>
      </w:pPr>
      <w:r w:rsidRPr="003513C3">
        <w:rPr>
          <w:rFonts w:eastAsiaTheme="majorEastAsia"/>
        </w:rPr>
        <w:t xml:space="preserve">Existuje aplikace pod názvem ADR, která umožňuje zjednodušenou aktualizaci CEPiK v otázce povolení a osvědčení ADR. </w:t>
      </w:r>
    </w:p>
    <w:p w:rsidR="003513C3" w:rsidRPr="003513C3" w:rsidRDefault="003513C3" w:rsidP="00A818F8">
      <w:pPr>
        <w:ind w:firstLine="284"/>
        <w:rPr>
          <w:rFonts w:eastAsiaTheme="majorEastAsia"/>
        </w:rPr>
      </w:pPr>
      <w:r w:rsidRPr="003513C3">
        <w:rPr>
          <w:rFonts w:eastAsiaTheme="majorEastAsia"/>
        </w:rPr>
        <w:t>Zdroj: stránky CEPiK</w:t>
      </w:r>
    </w:p>
    <w:p w:rsidR="003513C3" w:rsidRPr="003513C3" w:rsidRDefault="003513C3" w:rsidP="00A818F8">
      <w:pPr>
        <w:spacing w:after="0"/>
        <w:ind w:firstLine="284"/>
        <w:rPr>
          <w:rFonts w:eastAsiaTheme="majorEastAsia"/>
        </w:rPr>
      </w:pPr>
      <w:r w:rsidRPr="003513C3">
        <w:rPr>
          <w:rFonts w:eastAsiaTheme="majorEastAsia"/>
        </w:rPr>
        <w:lastRenderedPageBreak/>
        <w:t xml:space="preserve">Internet: </w:t>
      </w:r>
      <w:hyperlink r:id="rId111" w:history="1">
        <w:r w:rsidRPr="003513C3">
          <w:rPr>
            <w:rStyle w:val="Hypertextovodkaz"/>
            <w:rFonts w:eastAsiaTheme="majorEastAsia"/>
          </w:rPr>
          <w:t>www.cepik.gov.pl/portal/c/portal_public/layout?p_l_id=1.1&amp;p_p_id=EXT_7&amp;p_p_action=0&amp;p_p_state=maximized&amp;p_p_mode=view&amp;_EXT_7_struts_action=%2Fprezentacja_artykulow%2Fartykul&amp;_EXT_7_article_id=106&amp;_EXT_7_article_version=1.2&amp;_EXT_7_cur=1&amp;_EXT_7_statystyka=1</w:t>
        </w:r>
      </w:hyperlink>
    </w:p>
    <w:p w:rsidR="003513C3" w:rsidRPr="003513C3" w:rsidRDefault="003513C3" w:rsidP="00A818F8">
      <w:pPr>
        <w:ind w:firstLine="284"/>
        <w:rPr>
          <w:rFonts w:eastAsiaTheme="majorEastAsia"/>
        </w:rPr>
      </w:pPr>
      <w:r w:rsidRPr="003513C3">
        <w:rPr>
          <w:rFonts w:eastAsiaTheme="majorEastAsia"/>
        </w:rPr>
        <w:t>Soubor: PL-13-Informacje.pdf</w:t>
      </w:r>
    </w:p>
    <w:p w:rsidR="003513C3" w:rsidRPr="003513C3" w:rsidRDefault="003513C3" w:rsidP="00A818F8">
      <w:pPr>
        <w:ind w:firstLine="284"/>
        <w:rPr>
          <w:rFonts w:eastAsiaTheme="majorEastAsia"/>
        </w:rPr>
      </w:pPr>
      <w:r w:rsidRPr="003513C3">
        <w:rPr>
          <w:rFonts w:eastAsiaTheme="majorEastAsia"/>
        </w:rPr>
        <w:t>Dále existuje aplikace OZZ (Ob</w:t>
      </w:r>
      <w:r w:rsidR="00EF51E5">
        <w:rPr>
          <w:rFonts w:eastAsiaTheme="majorEastAsia"/>
        </w:rPr>
        <w:t>s</w:t>
      </w:r>
      <w:r w:rsidRPr="003513C3">
        <w:rPr>
          <w:rFonts w:eastAsiaTheme="majorEastAsia"/>
        </w:rPr>
        <w:t xml:space="preserve">luha vnějších dotazů, orig. </w:t>
      </w:r>
      <w:r w:rsidRPr="003513C3">
        <w:rPr>
          <w:rFonts w:eastAsiaTheme="majorEastAsia"/>
          <w:i/>
        </w:rPr>
        <w:t>Obsługa zapytań zewnętrznych</w:t>
      </w:r>
      <w:r w:rsidRPr="003513C3">
        <w:rPr>
          <w:rFonts w:eastAsiaTheme="majorEastAsia"/>
        </w:rPr>
        <w:t>), která umožňuje přístup k databázi CEPiK (omezeně dle přístupových práv) pro t</w:t>
      </w:r>
      <w:r w:rsidR="00EF51E5">
        <w:rPr>
          <w:rFonts w:eastAsiaTheme="majorEastAsia"/>
        </w:rPr>
        <w:t>řetí osoby, např. podniky. Manuá</w:t>
      </w:r>
      <w:r w:rsidRPr="003513C3">
        <w:rPr>
          <w:rFonts w:eastAsiaTheme="majorEastAsia"/>
        </w:rPr>
        <w:t>l k této aplikaci je volně přístupný.</w:t>
      </w:r>
    </w:p>
    <w:p w:rsidR="00A818F8" w:rsidRDefault="003513C3" w:rsidP="00A818F8">
      <w:pPr>
        <w:spacing w:after="0"/>
        <w:ind w:firstLine="284"/>
        <w:rPr>
          <w:rFonts w:eastAsiaTheme="majorEastAsia"/>
        </w:rPr>
      </w:pPr>
      <w:r w:rsidRPr="003513C3">
        <w:rPr>
          <w:rFonts w:eastAsiaTheme="majorEastAsia"/>
        </w:rPr>
        <w:t>Internet:</w:t>
      </w:r>
    </w:p>
    <w:p w:rsidR="003513C3" w:rsidRPr="003513C3" w:rsidRDefault="00107CBA" w:rsidP="00A818F8">
      <w:pPr>
        <w:spacing w:after="0"/>
        <w:ind w:firstLine="284"/>
        <w:rPr>
          <w:rFonts w:eastAsiaTheme="majorEastAsia"/>
        </w:rPr>
      </w:pPr>
      <w:hyperlink r:id="rId112" w:history="1">
        <w:r w:rsidR="003513C3" w:rsidRPr="003513C3">
          <w:rPr>
            <w:rStyle w:val="Hypertextovodkaz"/>
            <w:rFonts w:eastAsiaTheme="majorEastAsia"/>
          </w:rPr>
          <w:t>http://www.cepik.gov.pl/portal/plik/11-06-21_DOC_DokUzyt_OZZ_cz.1_v2.8.0.doc?id=264</w:t>
        </w:r>
      </w:hyperlink>
    </w:p>
    <w:p w:rsidR="003513C3" w:rsidRPr="003513C3" w:rsidRDefault="003513C3" w:rsidP="00A818F8">
      <w:pPr>
        <w:ind w:firstLine="284"/>
        <w:rPr>
          <w:rFonts w:eastAsiaTheme="majorEastAsia"/>
        </w:rPr>
      </w:pPr>
      <w:r w:rsidRPr="003513C3">
        <w:rPr>
          <w:rFonts w:eastAsiaTheme="majorEastAsia"/>
        </w:rPr>
        <w:t>Soubor: PL-14-_11-06-21_DOC_DokUzyt_OZZ_cz.1_v2.8.0.doc</w:t>
      </w:r>
    </w:p>
    <w:p w:rsidR="003513C3" w:rsidRPr="00F95F36" w:rsidRDefault="003513C3" w:rsidP="003513C3">
      <w:pPr>
        <w:pStyle w:val="Nadpis4"/>
        <w:rPr>
          <w:rFonts w:ascii="Times New Roman" w:eastAsiaTheme="majorEastAsia" w:hAnsi="Times New Roman"/>
        </w:rPr>
      </w:pPr>
      <w:bookmarkStart w:id="49" w:name="_Toc320038675"/>
      <w:bookmarkStart w:id="50" w:name="_Toc321301299"/>
      <w:bookmarkStart w:id="51" w:name="_Toc326741517"/>
      <w:r w:rsidRPr="00F95F36">
        <w:rPr>
          <w:rFonts w:ascii="Times New Roman" w:eastAsiaTheme="majorEastAsia" w:hAnsi="Times New Roman"/>
        </w:rPr>
        <w:t>Železniční doprava</w:t>
      </w:r>
      <w:bookmarkEnd w:id="49"/>
      <w:bookmarkEnd w:id="50"/>
      <w:bookmarkEnd w:id="51"/>
    </w:p>
    <w:p w:rsidR="003513C3" w:rsidRPr="003513C3" w:rsidRDefault="003513C3" w:rsidP="00F95F36">
      <w:pPr>
        <w:spacing w:before="120"/>
        <w:ind w:firstLine="284"/>
        <w:rPr>
          <w:rFonts w:eastAsiaTheme="majorEastAsia"/>
        </w:rPr>
      </w:pPr>
      <w:r w:rsidRPr="003513C3">
        <w:rPr>
          <w:rFonts w:eastAsiaTheme="majorEastAsia"/>
        </w:rPr>
        <w:t>V Polsku sledování nebezpečných nákladů na železnici se provádí už od sedmdesátých let dvacátého století. Existoval tehdy Registr sledování nebezpečný</w:t>
      </w:r>
      <w:r w:rsidR="00A818F8">
        <w:rPr>
          <w:rFonts w:eastAsiaTheme="majorEastAsia"/>
        </w:rPr>
        <w:t>ch zásilek v papírové podobě. Na</w:t>
      </w:r>
      <w:r w:rsidRPr="003513C3">
        <w:rPr>
          <w:rFonts w:eastAsiaTheme="majorEastAsia"/>
        </w:rPr>
        <w:t>svědčuje to k tomu, že dnes existuje jeho pokročilejší podoba. Její existence se bohužel nepovedlo zjistit – příslušné železniční orgány neodpovídaly na dotazy.</w:t>
      </w:r>
    </w:p>
    <w:p w:rsidR="003513C3" w:rsidRPr="003513C3" w:rsidRDefault="003513C3" w:rsidP="00A818F8">
      <w:pPr>
        <w:ind w:firstLine="284"/>
        <w:rPr>
          <w:rFonts w:eastAsiaTheme="majorEastAsia"/>
        </w:rPr>
      </w:pPr>
      <w:r w:rsidRPr="003513C3">
        <w:rPr>
          <w:rFonts w:eastAsiaTheme="majorEastAsia"/>
        </w:rPr>
        <w:t xml:space="preserve">Zdroj: časopis Železniční trh (orig. </w:t>
      </w:r>
      <w:r w:rsidRPr="003513C3">
        <w:rPr>
          <w:rFonts w:eastAsiaTheme="majorEastAsia"/>
          <w:i/>
        </w:rPr>
        <w:t>Rynek kolejowy</w:t>
      </w:r>
      <w:r w:rsidRPr="003513C3">
        <w:rPr>
          <w:rFonts w:eastAsiaTheme="majorEastAsia"/>
        </w:rPr>
        <w:t>).</w:t>
      </w:r>
    </w:p>
    <w:p w:rsidR="00A818F8" w:rsidRDefault="003513C3" w:rsidP="00A818F8">
      <w:pPr>
        <w:spacing w:after="0"/>
        <w:ind w:firstLine="284"/>
        <w:rPr>
          <w:rFonts w:eastAsiaTheme="majorEastAsia"/>
        </w:rPr>
      </w:pPr>
      <w:r w:rsidRPr="003513C3">
        <w:rPr>
          <w:rFonts w:eastAsiaTheme="majorEastAsia"/>
        </w:rPr>
        <w:t>Internet:</w:t>
      </w:r>
    </w:p>
    <w:p w:rsidR="003513C3" w:rsidRPr="003513C3" w:rsidRDefault="00107CBA" w:rsidP="00A818F8">
      <w:pPr>
        <w:spacing w:after="0"/>
        <w:ind w:firstLine="284"/>
        <w:rPr>
          <w:rFonts w:eastAsiaTheme="majorEastAsia"/>
        </w:rPr>
      </w:pPr>
      <w:hyperlink r:id="rId113" w:history="1">
        <w:r w:rsidR="003513C3" w:rsidRPr="003513C3">
          <w:rPr>
            <w:rStyle w:val="Hypertextovodkaz"/>
            <w:rFonts w:eastAsiaTheme="majorEastAsia"/>
          </w:rPr>
          <w:t>http://transport-kolejowy.wnp.pl/monitorowanie-sledzenie-przewozu-koleja-towarow-niebezpiecznych,4754_2_0_2.html</w:t>
        </w:r>
      </w:hyperlink>
    </w:p>
    <w:p w:rsidR="003513C3" w:rsidRPr="003513C3" w:rsidRDefault="003513C3" w:rsidP="00A818F8">
      <w:pPr>
        <w:ind w:firstLine="284"/>
        <w:rPr>
          <w:rFonts w:eastAsiaTheme="majorEastAsia"/>
        </w:rPr>
      </w:pPr>
      <w:r w:rsidRPr="003513C3">
        <w:rPr>
          <w:rFonts w:eastAsiaTheme="majorEastAsia"/>
        </w:rPr>
        <w:t>Soubor: PL-15-wnp_pl _ Wydruk strony.pdf</w:t>
      </w:r>
    </w:p>
    <w:p w:rsidR="003513C3" w:rsidRPr="003513C3" w:rsidRDefault="003513C3" w:rsidP="00A818F8">
      <w:pPr>
        <w:ind w:firstLine="284"/>
        <w:rPr>
          <w:rFonts w:eastAsiaTheme="majorEastAsia"/>
        </w:rPr>
      </w:pPr>
      <w:r w:rsidRPr="003513C3">
        <w:rPr>
          <w:rFonts w:eastAsiaTheme="majorEastAsia"/>
        </w:rPr>
        <w:t>Dále existuje projekt Trancelog Safety řešen v rámci programu EUREKA. Jeho cílem je mezinárodní sledování nebezpečného nákladu na železniční síti pomocí satelitní navigace (GPS, v současné době se počítá s rozšířením systému a umožněním použití systému GALILEO). Projekt je realizován ve spolupráci Polska a Německa.</w:t>
      </w:r>
    </w:p>
    <w:p w:rsidR="003513C3" w:rsidRPr="003513C3" w:rsidRDefault="003513C3" w:rsidP="00A818F8">
      <w:pPr>
        <w:ind w:firstLine="284"/>
        <w:rPr>
          <w:rFonts w:eastAsiaTheme="majorEastAsia"/>
        </w:rPr>
      </w:pPr>
      <w:r w:rsidRPr="003513C3">
        <w:rPr>
          <w:rFonts w:eastAsiaTheme="majorEastAsia"/>
        </w:rPr>
        <w:t>Zdroj: stránky EUREKY</w:t>
      </w:r>
    </w:p>
    <w:p w:rsidR="003513C3" w:rsidRPr="003513C3" w:rsidRDefault="003513C3" w:rsidP="00A818F8">
      <w:pPr>
        <w:spacing w:after="0"/>
        <w:ind w:firstLine="284"/>
        <w:rPr>
          <w:rFonts w:eastAsiaTheme="majorEastAsia"/>
        </w:rPr>
      </w:pPr>
      <w:r w:rsidRPr="003513C3">
        <w:rPr>
          <w:rFonts w:eastAsiaTheme="majorEastAsia"/>
        </w:rPr>
        <w:t xml:space="preserve">Internet: </w:t>
      </w:r>
      <w:hyperlink r:id="rId114" w:history="1">
        <w:r w:rsidRPr="003513C3">
          <w:rPr>
            <w:rStyle w:val="Hypertextovodkaz"/>
            <w:rFonts w:eastAsiaTheme="majorEastAsia"/>
          </w:rPr>
          <w:t>http://www.eurekanetwork.org/showsuccessstory?p_r_p_564233524_articleId=109557&amp;p_r_p_564233524_groupId=10137</w:t>
        </w:r>
      </w:hyperlink>
    </w:p>
    <w:p w:rsidR="003513C3" w:rsidRPr="003513C3" w:rsidRDefault="003513C3" w:rsidP="003513C3">
      <w:pPr>
        <w:rPr>
          <w:rFonts w:eastAsiaTheme="majorEastAsia"/>
        </w:rPr>
      </w:pPr>
      <w:r w:rsidRPr="003513C3">
        <w:rPr>
          <w:rFonts w:eastAsiaTheme="majorEastAsia"/>
        </w:rPr>
        <w:t>Soubor: PL-16-E2635 LOGCHAIN TRANSLOG SAFETY - EUREKA Success Story – EUREKA.pdf</w:t>
      </w:r>
    </w:p>
    <w:p w:rsidR="003513C3" w:rsidRPr="003513C3" w:rsidRDefault="003513C3" w:rsidP="00A818F8">
      <w:pPr>
        <w:ind w:firstLine="284"/>
        <w:rPr>
          <w:rFonts w:eastAsiaTheme="majorEastAsia"/>
        </w:rPr>
      </w:pPr>
      <w:r w:rsidRPr="003513C3">
        <w:rPr>
          <w:rFonts w:eastAsiaTheme="majorEastAsia"/>
        </w:rPr>
        <w:t>Jediným obdrženým podrobnějším dokumentem je syntéze projektu z roku 2004. Další detaily se nepovedlo získat, příslušné společnosti nereagovaly na dotazy.</w:t>
      </w:r>
    </w:p>
    <w:p w:rsidR="003513C3" w:rsidRPr="003513C3" w:rsidRDefault="003513C3" w:rsidP="00A818F8">
      <w:pPr>
        <w:spacing w:after="0"/>
        <w:ind w:firstLine="284"/>
        <w:rPr>
          <w:rFonts w:eastAsiaTheme="majorEastAsia"/>
        </w:rPr>
      </w:pPr>
      <w:r w:rsidRPr="003513C3">
        <w:rPr>
          <w:rFonts w:eastAsiaTheme="majorEastAsia"/>
        </w:rPr>
        <w:t>Zdroj: korespondence s odpovědným vedoucím projektu.</w:t>
      </w:r>
    </w:p>
    <w:p w:rsidR="003513C3" w:rsidRPr="003513C3" w:rsidRDefault="003513C3" w:rsidP="00A818F8">
      <w:pPr>
        <w:ind w:firstLine="284"/>
        <w:rPr>
          <w:rFonts w:eastAsiaTheme="majorEastAsia"/>
        </w:rPr>
      </w:pPr>
      <w:r w:rsidRPr="003513C3">
        <w:rPr>
          <w:rFonts w:eastAsiaTheme="majorEastAsia"/>
        </w:rPr>
        <w:t>Soubor: PL-17-Raport koncowy_Safety.pdf</w:t>
      </w:r>
    </w:p>
    <w:p w:rsidR="003513C3" w:rsidRPr="008F7607" w:rsidRDefault="003513C3" w:rsidP="003513C3">
      <w:pPr>
        <w:pStyle w:val="Nadpis4"/>
        <w:rPr>
          <w:rFonts w:ascii="Times New Roman" w:eastAsiaTheme="majorEastAsia" w:hAnsi="Times New Roman"/>
        </w:rPr>
      </w:pPr>
      <w:bookmarkStart w:id="52" w:name="_Toc321301300"/>
      <w:bookmarkStart w:id="53" w:name="_Toc326741518"/>
      <w:r w:rsidRPr="008F7607">
        <w:rPr>
          <w:rFonts w:ascii="Times New Roman" w:eastAsiaTheme="majorEastAsia" w:hAnsi="Times New Roman"/>
        </w:rPr>
        <w:t>Vodní doprava</w:t>
      </w:r>
      <w:bookmarkEnd w:id="52"/>
      <w:bookmarkEnd w:id="53"/>
    </w:p>
    <w:p w:rsidR="003513C3" w:rsidRDefault="003513C3" w:rsidP="00F95F36">
      <w:pPr>
        <w:spacing w:before="120"/>
        <w:ind w:firstLine="284"/>
        <w:rPr>
          <w:rFonts w:eastAsiaTheme="majorEastAsia"/>
        </w:rPr>
      </w:pPr>
      <w:r w:rsidRPr="003513C3">
        <w:rPr>
          <w:rFonts w:eastAsiaTheme="majorEastAsia"/>
        </w:rPr>
        <w:t>Přeprava nebezpečných věcí prostřednictvím vnitrozemské vodní dopravy není nijak sledována. Dopravci jsou pouze povinni dodržovat ustanovení zákona a vyhlášek. Tyto právní dokumenty nestanovují žádnou ohlašovací povinnost.</w:t>
      </w:r>
    </w:p>
    <w:p w:rsidR="008F7607" w:rsidRDefault="008F7607" w:rsidP="00F95F36">
      <w:pPr>
        <w:spacing w:before="120"/>
        <w:ind w:firstLine="284"/>
        <w:rPr>
          <w:rFonts w:eastAsiaTheme="majorEastAsia"/>
        </w:rPr>
      </w:pPr>
    </w:p>
    <w:p w:rsidR="008F7607" w:rsidRPr="00F95F36" w:rsidRDefault="008F7607" w:rsidP="008F7607">
      <w:pPr>
        <w:pStyle w:val="Nadpis3"/>
        <w:rPr>
          <w:rFonts w:ascii="Times New Roman" w:eastAsiaTheme="majorEastAsia" w:hAnsi="Times New Roman"/>
          <w:sz w:val="28"/>
        </w:rPr>
      </w:pPr>
      <w:bookmarkStart w:id="54" w:name="_Toc326741519"/>
      <w:r>
        <w:rPr>
          <w:rFonts w:ascii="Times New Roman" w:eastAsiaTheme="majorEastAsia" w:hAnsi="Times New Roman"/>
          <w:sz w:val="28"/>
        </w:rPr>
        <w:lastRenderedPageBreak/>
        <w:t>Shrnutí</w:t>
      </w:r>
      <w:bookmarkEnd w:id="54"/>
    </w:p>
    <w:p w:rsidR="008F7607" w:rsidRDefault="008F7607" w:rsidP="008F7607">
      <w:pPr>
        <w:spacing w:before="120"/>
        <w:ind w:firstLine="284"/>
        <w:rPr>
          <w:rFonts w:eastAsiaTheme="majorEastAsia"/>
        </w:rPr>
      </w:pPr>
      <w:r>
        <w:rPr>
          <w:rFonts w:eastAsiaTheme="majorEastAsia"/>
        </w:rPr>
        <w:t>V Polsku se sledování přepravy nebezpečných nákladů koná především na železnici. Papírová podoba systému existovala už v sedmdesátých letech 20. století. Dnes za tímto účelem vznikají nové systémy, jež místo zaměstnanců a papíru používají GPS (výhledově GALILEO). Takovým systémem je třeba zmíněný TRANSLOG Safety. Krom toho někteří soukromí dopravci vyvíjejí vlastní systémy sledování nákladů (např. CTL). Bohužel, z důvodu komerčního charakteru těchto systémů nepovedlo se zjistit o nich žádné konkrétní informace, které by mohly být v této studii zveřejněny.</w:t>
      </w:r>
    </w:p>
    <w:p w:rsidR="008F7607" w:rsidRDefault="008F7607" w:rsidP="008F7607">
      <w:pPr>
        <w:ind w:firstLine="284"/>
        <w:rPr>
          <w:rFonts w:eastAsiaTheme="majorEastAsia"/>
        </w:rPr>
      </w:pPr>
      <w:r>
        <w:rPr>
          <w:rFonts w:eastAsiaTheme="majorEastAsia"/>
        </w:rPr>
        <w:t>Silniční doprava nebezpečných věcí podléhá ohlašovací povinnosti hasičské službě a policii. Kromě toho se žádné další sledování neprovádí. Je možné, že vlastní sledování provádí některé soukromé subjekty, nepovedlo se je však kontaktovat a nejsou o tom žádné informace. V současné době se navíc mění legislativa a ohlašovací povinnost může být novou vyhláškou, jež se objeví do konce června, zrušena. Doporučuje se opakované seznámení se s legislativou po její úplné novelizaci.</w:t>
      </w:r>
    </w:p>
    <w:p w:rsidR="008F7607" w:rsidRPr="006A04A9" w:rsidRDefault="008F7607" w:rsidP="008F7607">
      <w:pPr>
        <w:ind w:firstLine="284"/>
        <w:rPr>
          <w:rFonts w:eastAsiaTheme="majorEastAsia"/>
        </w:rPr>
      </w:pPr>
      <w:r>
        <w:rPr>
          <w:rFonts w:eastAsiaTheme="majorEastAsia"/>
        </w:rPr>
        <w:t>Ve vodní dopravě se sledování nebezpečných nákladů nejspíš neprovádí. Nepovedlo se o tom najít jakékoli informace. Dokonce</w:t>
      </w:r>
      <w:r w:rsidR="00EF51E5">
        <w:rPr>
          <w:rFonts w:eastAsiaTheme="majorEastAsia"/>
        </w:rPr>
        <w:t xml:space="preserve"> legislativní dokumenty se nezmi</w:t>
      </w:r>
      <w:r>
        <w:rPr>
          <w:rFonts w:eastAsiaTheme="majorEastAsia"/>
        </w:rPr>
        <w:t>ňují o možném procesu sledování, což může být argumentem potvrzujícím neexistenci takových systémů ve vodní dopravě.</w:t>
      </w:r>
    </w:p>
    <w:p w:rsidR="00805A67" w:rsidRPr="002E6108" w:rsidRDefault="00805A67" w:rsidP="00805A67">
      <w:pPr>
        <w:pStyle w:val="Nadpis2"/>
        <w:rPr>
          <w:rFonts w:eastAsiaTheme="majorEastAsia"/>
          <w:sz w:val="30"/>
          <w:szCs w:val="30"/>
        </w:rPr>
      </w:pPr>
      <w:r w:rsidRPr="002E6108">
        <w:rPr>
          <w:rFonts w:eastAsiaTheme="majorEastAsia"/>
          <w:sz w:val="30"/>
          <w:szCs w:val="30"/>
        </w:rPr>
        <w:tab/>
      </w:r>
      <w:bookmarkStart w:id="55" w:name="_Toc326741520"/>
      <w:r w:rsidR="00C335F4" w:rsidRPr="002E6108">
        <w:rPr>
          <w:rFonts w:eastAsiaTheme="majorEastAsia"/>
          <w:sz w:val="30"/>
          <w:szCs w:val="30"/>
        </w:rPr>
        <w:t>Slovenská republika</w:t>
      </w:r>
      <w:bookmarkEnd w:id="55"/>
    </w:p>
    <w:p w:rsidR="00C335F4" w:rsidRPr="002E6108" w:rsidRDefault="00C335F4" w:rsidP="00C335F4">
      <w:pPr>
        <w:pStyle w:val="Nadpis3"/>
        <w:rPr>
          <w:rFonts w:ascii="Times New Roman" w:eastAsiaTheme="majorEastAsia" w:hAnsi="Times New Roman"/>
          <w:sz w:val="28"/>
        </w:rPr>
      </w:pPr>
      <w:bookmarkStart w:id="56" w:name="_Toc326741521"/>
      <w:r w:rsidRPr="002E6108">
        <w:rPr>
          <w:rFonts w:ascii="Times New Roman" w:eastAsiaTheme="majorEastAsia" w:hAnsi="Times New Roman"/>
          <w:sz w:val="28"/>
        </w:rPr>
        <w:t>Legislativní rámec</w:t>
      </w:r>
      <w:bookmarkEnd w:id="56"/>
    </w:p>
    <w:p w:rsidR="00AE7BA7" w:rsidRDefault="00805A67" w:rsidP="005C7267">
      <w:pPr>
        <w:autoSpaceDE w:val="0"/>
        <w:autoSpaceDN w:val="0"/>
        <w:adjustRightInd w:val="0"/>
        <w:spacing w:before="120" w:after="0"/>
        <w:ind w:firstLine="284"/>
      </w:pPr>
      <w:r>
        <w:rPr>
          <w:rFonts w:eastAsiaTheme="majorEastAsia"/>
        </w:rPr>
        <w:t xml:space="preserve">Na Slovensku upravují pravidla pro přepravu nebezpečného nákladu zákony vztahující se k jednotlivým typům dopravy. Ty přejímají mezinárodní dohody a řídí se směrnicí Evropského parlamentu a Rady - </w:t>
      </w:r>
      <w:r w:rsidRPr="00D01084">
        <w:rPr>
          <w:lang w:val="en-US"/>
        </w:rPr>
        <w:t>Directive 2008/68/EC of the European parliament and of the Council of 24 September 2008 on the inland transport of dangerous goods</w:t>
      </w:r>
      <w:r>
        <w:t>.</w:t>
      </w:r>
    </w:p>
    <w:p w:rsidR="00805A67" w:rsidRPr="00AE7BA7" w:rsidRDefault="00AE7BA7" w:rsidP="005872AC">
      <w:pPr>
        <w:ind w:firstLine="284"/>
        <w:rPr>
          <w:rFonts w:eastAsiaTheme="majorEastAsia"/>
          <w:lang w:val="pl-PL"/>
        </w:rPr>
      </w:pPr>
      <w:r>
        <w:t>Zdroj:</w:t>
      </w:r>
      <w:r w:rsidRPr="00AE7BA7">
        <w:t xml:space="preserve"> </w:t>
      </w:r>
      <w:hyperlink r:id="rId115" w:history="1">
        <w:r w:rsidRPr="003A6B96">
          <w:rPr>
            <w:rStyle w:val="Hypertextovodkaz"/>
            <w:rFonts w:eastAsiaTheme="majorEastAsia"/>
          </w:rPr>
          <w:t>http://www.telecom.gov.sk/index/index.php?ids=64981</w:t>
        </w:r>
      </w:hyperlink>
    </w:p>
    <w:p w:rsidR="00805A67" w:rsidRPr="002E6108" w:rsidRDefault="00805A67" w:rsidP="00805A67">
      <w:pPr>
        <w:pStyle w:val="Nadpis3"/>
        <w:rPr>
          <w:rFonts w:ascii="Times New Roman" w:eastAsiaTheme="majorEastAsia" w:hAnsi="Times New Roman"/>
          <w:sz w:val="28"/>
        </w:rPr>
      </w:pPr>
      <w:bookmarkStart w:id="57" w:name="_Toc326741522"/>
      <w:r w:rsidRPr="002E6108">
        <w:rPr>
          <w:rFonts w:ascii="Times New Roman" w:eastAsiaTheme="majorEastAsia" w:hAnsi="Times New Roman"/>
          <w:sz w:val="28"/>
        </w:rPr>
        <w:t>Aplikace ADR</w:t>
      </w:r>
      <w:bookmarkEnd w:id="57"/>
    </w:p>
    <w:p w:rsidR="00805A67" w:rsidRPr="002E6108" w:rsidRDefault="00805A67" w:rsidP="00805A67">
      <w:pPr>
        <w:pStyle w:val="Nadpis4"/>
        <w:rPr>
          <w:rFonts w:ascii="Times New Roman" w:eastAsiaTheme="majorEastAsia" w:hAnsi="Times New Roman"/>
        </w:rPr>
      </w:pPr>
      <w:bookmarkStart w:id="58" w:name="_Toc326741523"/>
      <w:r w:rsidRPr="002E6108">
        <w:rPr>
          <w:rFonts w:ascii="Times New Roman" w:eastAsiaTheme="majorEastAsia" w:hAnsi="Times New Roman"/>
        </w:rPr>
        <w:t>Silniční doprava</w:t>
      </w:r>
      <w:bookmarkEnd w:id="58"/>
    </w:p>
    <w:p w:rsidR="005C7267" w:rsidRDefault="00805A67" w:rsidP="005C7267">
      <w:pPr>
        <w:autoSpaceDE w:val="0"/>
        <w:autoSpaceDN w:val="0"/>
        <w:adjustRightInd w:val="0"/>
        <w:spacing w:before="120" w:after="0"/>
        <w:ind w:firstLine="284"/>
      </w:pPr>
      <w:r>
        <w:rPr>
          <w:rFonts w:eastAsiaTheme="majorEastAsia"/>
        </w:rPr>
        <w:t xml:space="preserve">Pro pozemní komunikace je to zákon 56/2012 Z. z.- </w:t>
      </w:r>
      <w:r w:rsidRPr="008F4187">
        <w:rPr>
          <w:rFonts w:eastAsiaTheme="majorEastAsia"/>
          <w:lang w:val="sk-SK"/>
        </w:rPr>
        <w:t>Zákon o cestnej doprave</w:t>
      </w:r>
      <w:r>
        <w:rPr>
          <w:rFonts w:eastAsiaTheme="majorEastAsia"/>
        </w:rPr>
        <w:t>, který je účinný od 1. 3. 2012. V něm se celá třetí část věnuje přepravě nebezpečných věcí. Nejedná se však příliš o národní zákon, jako spíš o aplikaci ADR. V tomto zákoně se totiž přímo píše: „</w:t>
      </w:r>
      <w:r>
        <w:rPr>
          <w:rFonts w:eastAsiaTheme="majorEastAsia"/>
          <w:lang w:val="sk-SK"/>
        </w:rPr>
        <w:t xml:space="preserve">V cestnej doprave možno prepravovať len nebezpečné veci, ktorých prepravu povoľuje medzinárodná zmluva, ktorou je Slovenská republika viazaná (ďalej len „dohoda ADR“).“ </w:t>
      </w:r>
      <w:r>
        <w:rPr>
          <w:rFonts w:eastAsiaTheme="majorEastAsia"/>
        </w:rPr>
        <w:t>Výjimky z ní tvoří jen vojenské transporty, přeprava vyřazených vozidel a přeprava vázaná speciálním povolením. Splňovat podmínky ADR musí ze zákona všechny strany účastnící se přepravy – tedy od výrobců, balicích společností a přes odesílatele a dopravce až po příjemce. Přímo se píše: „</w:t>
      </w:r>
      <w:r w:rsidRPr="000C6F46">
        <w:rPr>
          <w:lang w:val="sk-SK"/>
        </w:rPr>
        <w:t>Všetky osoby zúčastnené na preprave nebezpečných vecí podľa dohody ADR musia byť vyškolené podľa požiadaviek určených na túto prepravu primerane k ich zodpovednosti a povinnostiam.“</w:t>
      </w:r>
      <w:r>
        <w:rPr>
          <w:lang w:val="sk-SK"/>
        </w:rPr>
        <w:t xml:space="preserve"> </w:t>
      </w:r>
      <w:r>
        <w:t>Dále je ze zákona zavedena funkce bezpečnostního poradce, která je popsána v ADR. Zákon též jmenuje požadavky na fungování školících center ADR.</w:t>
      </w:r>
    </w:p>
    <w:p w:rsidR="00805A67" w:rsidRDefault="005C7267" w:rsidP="005C7267">
      <w:pPr>
        <w:autoSpaceDE w:val="0"/>
        <w:autoSpaceDN w:val="0"/>
        <w:adjustRightInd w:val="0"/>
        <w:spacing w:before="120" w:after="0"/>
        <w:ind w:firstLine="284"/>
      </w:pPr>
      <w:r>
        <w:t xml:space="preserve">Zdroj: </w:t>
      </w:r>
      <w:hyperlink r:id="rId116" w:history="1">
        <w:r w:rsidRPr="003A6B96">
          <w:rPr>
            <w:rStyle w:val="Hypertextovodkaz"/>
          </w:rPr>
          <w:t>http://www.zakon.sk/Main/lwDefault.aspx?Template=~%2fMain%2flwTArticles.ascx&amp;phContent=~%2fZZSR%2flwFulltext.ascx&amp;SearchRule=56%2f2012</w:t>
        </w:r>
      </w:hyperlink>
    </w:p>
    <w:p w:rsidR="00805A67" w:rsidRDefault="00805A67" w:rsidP="005C7267">
      <w:pPr>
        <w:autoSpaceDE w:val="0"/>
        <w:autoSpaceDN w:val="0"/>
        <w:adjustRightInd w:val="0"/>
        <w:spacing w:before="120" w:after="0"/>
        <w:ind w:firstLine="284"/>
      </w:pPr>
      <w:r>
        <w:lastRenderedPageBreak/>
        <w:t xml:space="preserve">Podle článku na stránkách </w:t>
      </w:r>
      <w:r w:rsidRPr="009B16A5">
        <w:rPr>
          <w:lang w:val="sk-SK"/>
        </w:rPr>
        <w:t>profivodic.sk</w:t>
      </w:r>
      <w:r>
        <w:t xml:space="preserve"> nazvaném </w:t>
      </w:r>
      <w:r w:rsidRPr="009B16A5">
        <w:rPr>
          <w:lang w:val="sk-SK"/>
        </w:rPr>
        <w:t xml:space="preserve">Manipulácia a preprava nebezpečných látok </w:t>
      </w:r>
      <w:r w:rsidRPr="009B16A5">
        <w:t>a Slovenská realita</w:t>
      </w:r>
      <w:r>
        <w:t xml:space="preserve"> se však na Slovensku předpisy související s přepravou nebezpečného nákladu příliš nedodržují. Na stejných stránkách je však také krásné shrnutí předpisů, souvisejících s přepravou nebezpečných věcí.</w:t>
      </w:r>
    </w:p>
    <w:p w:rsidR="005C7267" w:rsidRDefault="005C7267" w:rsidP="005C7267">
      <w:pPr>
        <w:tabs>
          <w:tab w:val="left" w:pos="993"/>
        </w:tabs>
        <w:spacing w:before="120" w:after="0"/>
        <w:ind w:firstLine="284"/>
      </w:pPr>
      <w:r>
        <w:t>Zdroj</w:t>
      </w:r>
      <w:r>
        <w:tab/>
        <w:t xml:space="preserve"> </w:t>
      </w:r>
      <w:hyperlink r:id="rId117" w:history="1">
        <w:r w:rsidRPr="00DA1B69">
          <w:rPr>
            <w:rStyle w:val="Hypertextovodkaz"/>
            <w:rFonts w:eastAsiaTheme="majorEastAsia"/>
          </w:rPr>
          <w:t>http://www.profivodic.sk/manipulacia-a-preprava-nebezpecnych-latok-a-Slovenska-realita</w:t>
        </w:r>
      </w:hyperlink>
    </w:p>
    <w:p w:rsidR="005C7267" w:rsidRDefault="005C7267" w:rsidP="005C7267">
      <w:pPr>
        <w:tabs>
          <w:tab w:val="left" w:pos="993"/>
        </w:tabs>
        <w:ind w:firstLine="284"/>
      </w:pPr>
      <w:r>
        <w:tab/>
      </w:r>
      <w:hyperlink r:id="rId118" w:history="1">
        <w:r w:rsidRPr="00596B07">
          <w:rPr>
            <w:rStyle w:val="Hypertextovodkaz"/>
          </w:rPr>
          <w:t>http://www.profivodic.sk/vsetko-o-cestnej-preprave-nebezpecnych-veci</w:t>
        </w:r>
      </w:hyperlink>
    </w:p>
    <w:p w:rsidR="00805A67" w:rsidRDefault="00805A67" w:rsidP="005C7267">
      <w:pPr>
        <w:autoSpaceDE w:val="0"/>
        <w:autoSpaceDN w:val="0"/>
        <w:adjustRightInd w:val="0"/>
        <w:spacing w:before="120" w:after="0"/>
        <w:ind w:firstLine="284"/>
      </w:pPr>
      <w:r>
        <w:t>Pro přepravu nákladu dle ADR mimo S</w:t>
      </w:r>
      <w:r w:rsidRPr="003B5447">
        <w:t>chengenský prostor</w:t>
      </w:r>
      <w:r>
        <w:t xml:space="preserve"> (ze Slovenska na Ukrajinu) je určen jediný přechod a to Vyšné Nemecké – Užhorod, který je v provozu celoročně.</w:t>
      </w:r>
    </w:p>
    <w:p w:rsidR="005C7267" w:rsidRDefault="005C7267" w:rsidP="005C7267">
      <w:pPr>
        <w:autoSpaceDE w:val="0"/>
        <w:autoSpaceDN w:val="0"/>
        <w:adjustRightInd w:val="0"/>
        <w:spacing w:before="120" w:after="0"/>
        <w:ind w:firstLine="284"/>
      </w:pPr>
      <w:r>
        <w:t>Zdroj:</w:t>
      </w:r>
      <w:r w:rsidRPr="005C7267">
        <w:t xml:space="preserve"> </w:t>
      </w:r>
      <w:hyperlink r:id="rId119" w:history="1">
        <w:r w:rsidRPr="00DA1B69">
          <w:rPr>
            <w:rStyle w:val="Hypertextovodkaz"/>
            <w:rFonts w:eastAsiaTheme="majorEastAsia"/>
          </w:rPr>
          <w:t>http://www.adr.sk/index.php/dohoda/colne-priechpdu-v-sr-pre-adr/</w:t>
        </w:r>
      </w:hyperlink>
    </w:p>
    <w:p w:rsidR="005C7267" w:rsidRDefault="00805A67" w:rsidP="005C7267">
      <w:pPr>
        <w:spacing w:before="120"/>
        <w:ind w:firstLine="284"/>
      </w:pPr>
      <w:r>
        <w:t>Pro sledování pohybu nebezpečného nákladu na Slovensku ve spolupráci s Českou republikou a Rakouskem v rámci</w:t>
      </w:r>
      <w:r w:rsidR="00071287">
        <w:t xml:space="preserve"> projektu CONNECT, fáze EASYWAY</w:t>
      </w:r>
      <w:r>
        <w:t xml:space="preserve"> vyvíjel prototyp palubní jednotky a centra sledování přepravy nebezpečného nákladu na Slovensku </w:t>
      </w:r>
      <w:r w:rsidRPr="009A4FE7">
        <w:rPr>
          <w:lang w:val="sk-SK"/>
        </w:rPr>
        <w:t>Výskumný ústav dopravný</w:t>
      </w:r>
      <w:r>
        <w:t xml:space="preserve"> v Žilině. V současné době existuje prototyp OBU a zkoumají se možnosti její zavedení (viz. 2.2).</w:t>
      </w:r>
    </w:p>
    <w:p w:rsidR="00805A67" w:rsidRDefault="005C7267" w:rsidP="005C7267">
      <w:pPr>
        <w:spacing w:before="120"/>
        <w:ind w:firstLine="284"/>
      </w:pPr>
      <w:r>
        <w:t xml:space="preserve">Zdroj: </w:t>
      </w:r>
      <w:hyperlink r:id="rId120" w:history="1">
        <w:r w:rsidRPr="00E77A68">
          <w:rPr>
            <w:rStyle w:val="Hypertextovodkaz"/>
            <w:rFonts w:eastAsiaTheme="majorEastAsia"/>
          </w:rPr>
          <w:t>http://hnonline.sk/2-24929310-k00000_d-f0</w:t>
        </w:r>
      </w:hyperlink>
    </w:p>
    <w:p w:rsidR="00805A67" w:rsidRDefault="00805A67" w:rsidP="005C7267">
      <w:pPr>
        <w:ind w:firstLine="284"/>
      </w:pPr>
      <w:r>
        <w:t>O jiném typu sledování pohybu vozidel s nebezpečným nákladem (krom</w:t>
      </w:r>
      <w:r w:rsidR="005C7267">
        <w:t>ě</w:t>
      </w:r>
      <w:r>
        <w:t xml:space="preserve"> firemních systémů) nejsou na Slovensku žádné informace.</w:t>
      </w:r>
    </w:p>
    <w:p w:rsidR="00805A67" w:rsidRPr="002E6108" w:rsidRDefault="00805A67" w:rsidP="00805A67">
      <w:pPr>
        <w:pStyle w:val="Nadpis3"/>
        <w:rPr>
          <w:rFonts w:ascii="Times New Roman" w:eastAsiaTheme="majorEastAsia" w:hAnsi="Times New Roman"/>
          <w:sz w:val="28"/>
        </w:rPr>
      </w:pPr>
      <w:bookmarkStart w:id="59" w:name="_Toc326741524"/>
      <w:r w:rsidRPr="002E6108">
        <w:rPr>
          <w:rFonts w:ascii="Times New Roman" w:eastAsiaTheme="majorEastAsia" w:hAnsi="Times New Roman"/>
          <w:sz w:val="28"/>
        </w:rPr>
        <w:t>Ostatní (národní) zákony a normy</w:t>
      </w:r>
      <w:bookmarkEnd w:id="59"/>
    </w:p>
    <w:p w:rsidR="00805A67" w:rsidRPr="002E6108" w:rsidRDefault="00805A67" w:rsidP="00805A67">
      <w:pPr>
        <w:pStyle w:val="Nadpis4"/>
        <w:rPr>
          <w:rFonts w:ascii="Times New Roman" w:eastAsiaTheme="majorEastAsia" w:hAnsi="Times New Roman"/>
        </w:rPr>
      </w:pPr>
      <w:bookmarkStart w:id="60" w:name="_Toc326741525"/>
      <w:r w:rsidRPr="002E6108">
        <w:rPr>
          <w:rFonts w:ascii="Times New Roman" w:eastAsiaTheme="majorEastAsia" w:hAnsi="Times New Roman"/>
        </w:rPr>
        <w:t>Železniční doprava</w:t>
      </w:r>
      <w:bookmarkEnd w:id="60"/>
    </w:p>
    <w:p w:rsidR="005C7267" w:rsidRDefault="00805A67" w:rsidP="005C7267">
      <w:pPr>
        <w:autoSpaceDE w:val="0"/>
        <w:autoSpaceDN w:val="0"/>
        <w:adjustRightInd w:val="0"/>
        <w:spacing w:before="120" w:after="0"/>
        <w:ind w:firstLine="284"/>
      </w:pPr>
      <w:r>
        <w:rPr>
          <w:rFonts w:eastAsiaTheme="majorEastAsia"/>
        </w:rPr>
        <w:t>Dopravu nebezpečného nákladu na železnicích na Slovensku je možné uskutečňovat dle „</w:t>
      </w:r>
      <w:r w:rsidRPr="00C14B73">
        <w:rPr>
          <w:lang w:val="sk-SK"/>
        </w:rPr>
        <w:t>Poriadku pre medzinárodnú železničnú prepravu nebezpečného tovaru (RID)</w:t>
      </w:r>
      <w:r>
        <w:t>“ v aktuální verzi 2011, což je 1197 stránkový dokument, který je Dodatkem C k „</w:t>
      </w:r>
      <w:r w:rsidRPr="00C14B73">
        <w:rPr>
          <w:lang w:val="sk-SK"/>
        </w:rPr>
        <w:t>Dohovoru o medzinárodnej železničnej preprave (COTIF) a v zmysle ustanovení § 36 zákona Národnej rady Slovenskej republiky č. 514/2009  Z.</w:t>
      </w:r>
      <w:r>
        <w:rPr>
          <w:lang w:val="sk-SK"/>
        </w:rPr>
        <w:t xml:space="preserve"> </w:t>
      </w:r>
      <w:r w:rsidRPr="00C14B73">
        <w:rPr>
          <w:lang w:val="sk-SK"/>
        </w:rPr>
        <w:t>z. o doprave na dráhach v znení neskorších predpisov.“</w:t>
      </w:r>
      <w:r>
        <w:t xml:space="preserve"> </w:t>
      </w:r>
    </w:p>
    <w:p w:rsidR="00805A67" w:rsidRPr="00ED7505" w:rsidRDefault="005C7267" w:rsidP="005C7267">
      <w:pPr>
        <w:ind w:firstLine="284"/>
      </w:pPr>
      <w:r>
        <w:t xml:space="preserve">Zdroj: </w:t>
      </w:r>
      <w:hyperlink r:id="rId121" w:history="1">
        <w:r w:rsidRPr="00E77A68">
          <w:rPr>
            <w:rStyle w:val="Hypertextovodkaz"/>
            <w:rFonts w:eastAsiaTheme="majorEastAsia"/>
          </w:rPr>
          <w:t>http://www.telecom.gov.sk/index/index.php?ids=58252</w:t>
        </w:r>
      </w:hyperlink>
    </w:p>
    <w:p w:rsidR="005C7267" w:rsidRDefault="00805A67" w:rsidP="005C7267">
      <w:pPr>
        <w:ind w:firstLine="284"/>
        <w:rPr>
          <w:bCs/>
        </w:rPr>
      </w:pPr>
      <w:r>
        <w:t>Tyto předpisy stanový podobně jako ADR funkci bezpečnostního poradce. Školením bezpečnostních poradců pověřuje přímo „</w:t>
      </w:r>
      <w:r w:rsidRPr="009B16A5">
        <w:rPr>
          <w:bCs/>
          <w:lang w:val="sk-SK"/>
        </w:rPr>
        <w:t>Ústredný inštitút vzdelávania a psychologie</w:t>
      </w:r>
      <w:r>
        <w:rPr>
          <w:bCs/>
        </w:rPr>
        <w:t>“ a zkoušením poradců pak „</w:t>
      </w:r>
      <w:r w:rsidRPr="009B16A5">
        <w:rPr>
          <w:bCs/>
          <w:lang w:val="sk-SK"/>
        </w:rPr>
        <w:t>Úrad pre reguláciu železničnej dopravy</w:t>
      </w:r>
      <w:r>
        <w:rPr>
          <w:bCs/>
        </w:rPr>
        <w:t xml:space="preserve">“ </w:t>
      </w:r>
    </w:p>
    <w:p w:rsidR="005C7267" w:rsidRPr="00E77A68" w:rsidRDefault="005C7267" w:rsidP="005C7267">
      <w:pPr>
        <w:ind w:firstLine="284"/>
        <w:rPr>
          <w:rFonts w:eastAsiaTheme="majorEastAsia"/>
        </w:rPr>
      </w:pPr>
      <w:r>
        <w:rPr>
          <w:bCs/>
        </w:rPr>
        <w:t xml:space="preserve">Zdroj: </w:t>
      </w:r>
      <w:hyperlink r:id="rId122" w:history="1">
        <w:r w:rsidRPr="00E77A68">
          <w:rPr>
            <w:rStyle w:val="Hypertextovodkaz"/>
            <w:rFonts w:eastAsiaTheme="majorEastAsia"/>
          </w:rPr>
          <w:t>http://www.telecom.gov.sk/index/index.php?ids=58272</w:t>
        </w:r>
      </w:hyperlink>
    </w:p>
    <w:p w:rsidR="005C7267" w:rsidRDefault="00805A67" w:rsidP="005C7267">
      <w:pPr>
        <w:ind w:firstLine="284"/>
        <w:rPr>
          <w:bCs/>
        </w:rPr>
      </w:pPr>
      <w:r>
        <w:rPr>
          <w:bCs/>
        </w:rPr>
        <w:t>Sledování pohybu vagonů na železnici společnosti ZSSK Cargo zajišťuje zákaznický portál ISP (který v současné době používá neplatný certifikát) a ZSSK Cargo je schopný zajistit informace ze všech sousedních států kromě Polska a Ukrajiny.</w:t>
      </w:r>
    </w:p>
    <w:p w:rsidR="00805A67" w:rsidRDefault="005C7267" w:rsidP="005C7267">
      <w:pPr>
        <w:ind w:firstLine="284"/>
      </w:pPr>
      <w:r>
        <w:rPr>
          <w:bCs/>
        </w:rPr>
        <w:t xml:space="preserve">Zdroj: </w:t>
      </w:r>
      <w:hyperlink r:id="rId123" w:history="1">
        <w:r w:rsidRPr="00E77A68">
          <w:rPr>
            <w:rStyle w:val="Hypertextovodkaz"/>
            <w:rFonts w:eastAsiaTheme="majorEastAsia"/>
          </w:rPr>
          <w:t>http://www.zscargo.sk/sk/pre-zakaznikov/zakaznicky-servis/najcastejsie-otazky/</w:t>
        </w:r>
      </w:hyperlink>
    </w:p>
    <w:p w:rsidR="002E6108" w:rsidRPr="002E6108" w:rsidRDefault="002E6108" w:rsidP="002E6108">
      <w:pPr>
        <w:autoSpaceDE w:val="0"/>
        <w:autoSpaceDN w:val="0"/>
        <w:adjustRightInd w:val="0"/>
        <w:spacing w:before="120" w:after="0"/>
        <w:ind w:firstLine="284"/>
        <w:rPr>
          <w:iCs/>
        </w:rPr>
      </w:pPr>
      <w:r w:rsidRPr="002E6108">
        <w:rPr>
          <w:bCs/>
        </w:rPr>
        <w:t xml:space="preserve">ZSSK Cargo Slovakia sleduje všechny zásilky vzhledem k poloze dopravního prostředku pomocí informačních systémů provozovatele dopravní infrastruktury ŽSR. Za tímto účelem existuje mezi ZSSK Cargo a ŽSR dohoda o vzájemné elektronické výměně dat. Na základě těchto informací může dopravce identifikovat i zásilku nebezpečného nákladu (číslo vozu, vlaku, zásilky). Systém GPS je aktuálně používaný pouze pro potřeby sledování spotřeby energií a výkonů HDV (a též identifikace narušení nečinného HDV (hnacího drážního vozidla) či krádež PHM). Využití ETCS je podmíněné rekonstrukcí jednotlivých koridorů a v současné době nereálné. Monitorování pomocí GPS/OBU/GSM/GPRS je sice technicky </w:t>
      </w:r>
      <w:r w:rsidRPr="002E6108">
        <w:rPr>
          <w:bCs/>
        </w:rPr>
        <w:lastRenderedPageBreak/>
        <w:t>možné, ale příliš nákladné při přepravních výkonech, jaké realizují „národní“ dopravci (dle vyjádření ZSSK Cargo). V podmínkách EU by musely být požadované OBU financované z fondů EU, aby jejich nasazení dopravcem ZSSK Cargo bylo reálné. V době ekonomické krize a v situaci, kdy zákony monitorování nenařizují, ale pouze doporučují, není investice do podobných systémů prioritou ZSSK Cargo Slovakia</w:t>
      </w:r>
    </w:p>
    <w:p w:rsidR="00805A67" w:rsidRPr="002E6108" w:rsidRDefault="00805A67" w:rsidP="00805A67">
      <w:pPr>
        <w:pStyle w:val="Nadpis4"/>
        <w:rPr>
          <w:rFonts w:ascii="Times New Roman" w:hAnsi="Times New Roman"/>
        </w:rPr>
      </w:pPr>
      <w:bookmarkStart w:id="61" w:name="_Toc326741526"/>
      <w:r w:rsidRPr="002E6108">
        <w:rPr>
          <w:rFonts w:ascii="Times New Roman" w:hAnsi="Times New Roman"/>
        </w:rPr>
        <w:t>Vnitrozemské vodní cesty</w:t>
      </w:r>
      <w:bookmarkEnd w:id="61"/>
    </w:p>
    <w:p w:rsidR="005C7267" w:rsidRDefault="00805A67" w:rsidP="005C7267">
      <w:pPr>
        <w:autoSpaceDE w:val="0"/>
        <w:autoSpaceDN w:val="0"/>
        <w:adjustRightInd w:val="0"/>
        <w:spacing w:before="120" w:after="0"/>
        <w:ind w:firstLine="284"/>
        <w:rPr>
          <w:iCs/>
        </w:rPr>
      </w:pPr>
      <w:r>
        <w:rPr>
          <w:bCs/>
        </w:rPr>
        <w:t>Přepravu nebezpečného nákladu po vnitrozemských vodních cestách na Slovensku upravuje mezinárodní dohoda ADN, tedy „</w:t>
      </w:r>
      <w:r>
        <w:rPr>
          <w:bCs/>
          <w:lang w:val="sk-SK"/>
        </w:rPr>
        <w:t>Európska dohoda o medzinárodnej preprave nebezpečného tovaru po vnútrozemských vodných cestách“</w:t>
      </w:r>
      <w:r>
        <w:rPr>
          <w:bCs/>
        </w:rPr>
        <w:t xml:space="preserve">, zvláště pak předpisy ADN-D, které se týkají plavbě po Dunaji. Telematických aplikací se pak týká zejména poznámka u odstavce 1.10.3.3, která říká: </w:t>
      </w:r>
      <w:r w:rsidRPr="004014FA">
        <w:rPr>
          <w:bCs/>
        </w:rPr>
        <w:t>„</w:t>
      </w:r>
      <w:r w:rsidRPr="00B20C78">
        <w:rPr>
          <w:iCs/>
          <w:lang w:val="sk-SK"/>
        </w:rPr>
        <w:t>Pokiaľ je to vhodné a pokiaľ sú potrebné zariadenia už inštalované, mali by sa použiť telematické systémy alebo iné metódy alebo prístroje na sledovanie pohybu vysoko rizikového nebezpečného tovaru (tabulka 1.10.5)</w:t>
      </w:r>
      <w:r w:rsidRPr="004014FA">
        <w:rPr>
          <w:iCs/>
        </w:rPr>
        <w:t>“</w:t>
      </w:r>
      <w:r>
        <w:rPr>
          <w:iCs/>
        </w:rPr>
        <w:t>. Konkrétní systém pro sledování vnitrozemské lodní dopravy se nám najít zatím nepodařilo.</w:t>
      </w:r>
    </w:p>
    <w:p w:rsidR="00805A67" w:rsidRDefault="005C7267" w:rsidP="005C7267">
      <w:pPr>
        <w:autoSpaceDE w:val="0"/>
        <w:autoSpaceDN w:val="0"/>
        <w:adjustRightInd w:val="0"/>
        <w:spacing w:before="120" w:after="0"/>
        <w:ind w:firstLine="284"/>
      </w:pPr>
      <w:r>
        <w:rPr>
          <w:iCs/>
        </w:rPr>
        <w:t xml:space="preserve">Zdroj: </w:t>
      </w:r>
      <w:hyperlink r:id="rId124" w:history="1">
        <w:r w:rsidRPr="00E77A68">
          <w:rPr>
            <w:rStyle w:val="Hypertextovodkaz"/>
            <w:rFonts w:eastAsiaTheme="majorEastAsia"/>
          </w:rPr>
          <w:t>http://www.nrsr.sk/web/dynamic/Download.aspx?DocID=330436</w:t>
        </w:r>
      </w:hyperlink>
    </w:p>
    <w:p w:rsidR="00805A67" w:rsidRPr="002E6108" w:rsidRDefault="00805A67" w:rsidP="00805A67">
      <w:pPr>
        <w:pStyle w:val="Nadpis4"/>
        <w:rPr>
          <w:rFonts w:ascii="Times New Roman" w:hAnsi="Times New Roman"/>
        </w:rPr>
      </w:pPr>
      <w:bookmarkStart w:id="62" w:name="_Toc326741527"/>
      <w:r w:rsidRPr="002E6108">
        <w:rPr>
          <w:rFonts w:ascii="Times New Roman" w:hAnsi="Times New Roman"/>
        </w:rPr>
        <w:t>Námořní plavba</w:t>
      </w:r>
      <w:bookmarkEnd w:id="62"/>
    </w:p>
    <w:p w:rsidR="005C7267" w:rsidRDefault="00805A67" w:rsidP="005C7267">
      <w:pPr>
        <w:autoSpaceDE w:val="0"/>
        <w:autoSpaceDN w:val="0"/>
        <w:adjustRightInd w:val="0"/>
        <w:spacing w:before="120" w:after="0"/>
        <w:ind w:firstLine="284"/>
        <w:rPr>
          <w:iCs/>
        </w:rPr>
      </w:pPr>
      <w:r>
        <w:rPr>
          <w:iCs/>
        </w:rPr>
        <w:t xml:space="preserve">Monitorovací a informační systém pro námořní plavbu zavádí </w:t>
      </w:r>
      <w:r w:rsidRPr="00633874">
        <w:rPr>
          <w:iCs/>
          <w:lang w:val="sk-SK"/>
        </w:rPr>
        <w:t>Nariadenie vlády Slovenskej republiky č. 67/2007 Z. z</w:t>
      </w:r>
      <w:r>
        <w:rPr>
          <w:iCs/>
        </w:rPr>
        <w:t xml:space="preserve">., které přijímá Směrnici Evropského parlamentu a Rady 2002/59/ES. Podle něj musí být každá loď vybavena automatickým identifikačním systémem a systémem zaznamenávání plavebních dat, splňující požadavky rezoluce A.861(20). Lodě přepravující nebezpečný náklad musí navíc plnit další informační povinnosti vyplývající z </w:t>
      </w:r>
      <w:r w:rsidRPr="00C14B73">
        <w:rPr>
          <w:lang w:val="sk-SK"/>
        </w:rPr>
        <w:t>§</w:t>
      </w:r>
      <w:r>
        <w:rPr>
          <w:lang w:val="sk-SK"/>
        </w:rPr>
        <w:t xml:space="preserve"> 10</w:t>
      </w:r>
      <w:r>
        <w:rPr>
          <w:iCs/>
        </w:rPr>
        <w:t> tohoto zákona.</w:t>
      </w:r>
    </w:p>
    <w:p w:rsidR="00805A67" w:rsidRPr="00ED7505" w:rsidRDefault="005C7267" w:rsidP="005C7267">
      <w:pPr>
        <w:autoSpaceDE w:val="0"/>
        <w:autoSpaceDN w:val="0"/>
        <w:adjustRightInd w:val="0"/>
        <w:spacing w:before="120" w:after="0"/>
        <w:ind w:firstLine="284"/>
        <w:rPr>
          <w:iCs/>
        </w:rPr>
      </w:pPr>
      <w:r>
        <w:rPr>
          <w:iCs/>
        </w:rPr>
        <w:t xml:space="preserve">Zdroj: </w:t>
      </w:r>
      <w:hyperlink r:id="rId125" w:history="1">
        <w:r w:rsidRPr="003A6B96">
          <w:rPr>
            <w:rStyle w:val="Hypertextovodkaz"/>
          </w:rPr>
          <w:t>http://www.zakon.sk/Main/lwDefault.aspx?Template=~%2fMain%2flwTArticles.ascx&amp;phContent=~%2fZZSR%2flwFulltext.ascx&amp;SearchRule=67%2f20097</w:t>
        </w:r>
      </w:hyperlink>
    </w:p>
    <w:p w:rsidR="004212AC" w:rsidRPr="002E6108" w:rsidRDefault="004212AC" w:rsidP="004212AC">
      <w:pPr>
        <w:pStyle w:val="Nadpis3"/>
        <w:rPr>
          <w:rFonts w:ascii="Times New Roman" w:eastAsiaTheme="majorEastAsia" w:hAnsi="Times New Roman"/>
          <w:sz w:val="28"/>
        </w:rPr>
      </w:pPr>
      <w:bookmarkStart w:id="63" w:name="_Toc318723055"/>
      <w:bookmarkStart w:id="64" w:name="_Toc326741528"/>
      <w:r w:rsidRPr="002E6108">
        <w:rPr>
          <w:rFonts w:ascii="Times New Roman" w:eastAsiaTheme="majorEastAsia" w:hAnsi="Times New Roman"/>
          <w:sz w:val="28"/>
        </w:rPr>
        <w:t>Postupy a aplikace systému</w:t>
      </w:r>
      <w:bookmarkEnd w:id="64"/>
    </w:p>
    <w:bookmarkEnd w:id="63"/>
    <w:p w:rsidR="00805A67" w:rsidRDefault="00805A67" w:rsidP="005C7267">
      <w:pPr>
        <w:spacing w:before="120"/>
        <w:ind w:firstLine="284"/>
        <w:rPr>
          <w:rFonts w:eastAsiaTheme="majorEastAsia"/>
        </w:rPr>
      </w:pPr>
      <w:r>
        <w:rPr>
          <w:rFonts w:eastAsiaTheme="majorEastAsia"/>
        </w:rPr>
        <w:t>Jednotný systém pro sledování nebezpečného nákladu během přepravy na Slovensku neexistuje ani není zákonem definovaný. Sledování nákladů (i těch nebezpečných) si tak dělají jednotlivé dopravní společnosti sami. Tyto systémy nejsou vázány na žádnou centrální databázi ani propojeny se systémy rychlé pomoci.</w:t>
      </w:r>
    </w:p>
    <w:p w:rsidR="00805A67" w:rsidRDefault="00805A67" w:rsidP="005C7267">
      <w:pPr>
        <w:ind w:firstLine="284"/>
      </w:pPr>
      <w:r w:rsidRPr="009A4FE7">
        <w:rPr>
          <w:lang w:val="sk-SK"/>
        </w:rPr>
        <w:t>Výskumný ústav dopravný</w:t>
      </w:r>
      <w:r>
        <w:t xml:space="preserve"> v Žilině v rámci projektu CONNECT vyvinul v roce 2007 zkušební palubní jednotku (OBU – </w:t>
      </w:r>
      <w:r w:rsidRPr="00ED7505">
        <w:t>On Board Unit</w:t>
      </w:r>
      <w:r>
        <w:t>), která by měla být použita pro monitorování přepravy nebezpečného nákladu. V letech 2008-2009 řešili organizační přípravu a studii realizovatelnosti projektu a nyní (2011-2012) řeší možnosti využití mýtné infrastruktury pro sledování nadměrného, nadrozměrného a nebezpečného nákladu. Zavedení systému sledování je na Slovensku plánované, zatím však není potvrzené.</w:t>
      </w:r>
    </w:p>
    <w:p w:rsidR="00805A67" w:rsidRDefault="00805A67" w:rsidP="005C7267">
      <w:pPr>
        <w:ind w:firstLine="284"/>
      </w:pPr>
      <w:r>
        <w:t>OBU by měla být vybavena řadou senzorů. Například by měla hlídat těsnost obalu a tím případný únik nebezpečných látek do okolí nebo sledovat naklonění vozidla a jeho polohu. V případě vzniku jakékoli nehody je důležitá kvalitní a komplexní informovanost záchranného systému, kterou by právě OBU měla zajistit. Sdělit přesné místo havárie, druh a množství nebezpečné látky, rozsah úniku, způsob, jakým je možné látku zneškodnit a jaké technické prostředky použít a případně další informace.</w:t>
      </w:r>
    </w:p>
    <w:p w:rsidR="00805A67" w:rsidRPr="002E6108" w:rsidRDefault="00805A67" w:rsidP="00805A67">
      <w:pPr>
        <w:pStyle w:val="Nadpis3"/>
        <w:rPr>
          <w:rFonts w:ascii="Times New Roman" w:eastAsiaTheme="majorEastAsia" w:hAnsi="Times New Roman"/>
          <w:sz w:val="28"/>
        </w:rPr>
      </w:pPr>
      <w:bookmarkStart w:id="65" w:name="_Toc318723056"/>
      <w:bookmarkStart w:id="66" w:name="_Toc326741529"/>
      <w:r w:rsidRPr="002E6108">
        <w:rPr>
          <w:rFonts w:ascii="Times New Roman" w:eastAsiaTheme="majorEastAsia" w:hAnsi="Times New Roman"/>
          <w:sz w:val="28"/>
        </w:rPr>
        <w:lastRenderedPageBreak/>
        <w:t>Provozovatel aplikace</w:t>
      </w:r>
      <w:bookmarkEnd w:id="65"/>
      <w:bookmarkEnd w:id="66"/>
    </w:p>
    <w:p w:rsidR="00805A67" w:rsidRPr="008D52EB" w:rsidRDefault="00805A67" w:rsidP="00805A67">
      <w:pPr>
        <w:rPr>
          <w:rFonts w:eastAsiaTheme="majorEastAsia"/>
        </w:rPr>
      </w:pPr>
      <w:r>
        <w:rPr>
          <w:rFonts w:eastAsiaTheme="majorEastAsia"/>
        </w:rPr>
        <w:t>Žádný – aplikace je ve vývoji.</w:t>
      </w:r>
    </w:p>
    <w:p w:rsidR="00805A67" w:rsidRPr="002E6108" w:rsidRDefault="00805A67" w:rsidP="00805A67">
      <w:pPr>
        <w:pStyle w:val="Nadpis3"/>
        <w:rPr>
          <w:rFonts w:ascii="Times New Roman" w:eastAsiaTheme="majorEastAsia" w:hAnsi="Times New Roman"/>
          <w:sz w:val="28"/>
        </w:rPr>
      </w:pPr>
      <w:bookmarkStart w:id="67" w:name="_Toc318723057"/>
      <w:bookmarkStart w:id="68" w:name="_Toc326741530"/>
      <w:r w:rsidRPr="002E6108">
        <w:rPr>
          <w:rFonts w:ascii="Times New Roman" w:eastAsiaTheme="majorEastAsia" w:hAnsi="Times New Roman"/>
          <w:sz w:val="28"/>
        </w:rPr>
        <w:t>Architektura systému, rozhraní</w:t>
      </w:r>
      <w:bookmarkEnd w:id="67"/>
      <w:bookmarkEnd w:id="68"/>
    </w:p>
    <w:p w:rsidR="00805A67" w:rsidRPr="002E75DD" w:rsidRDefault="00805A67" w:rsidP="005C7267">
      <w:pPr>
        <w:spacing w:before="120"/>
        <w:rPr>
          <w:rFonts w:eastAsiaTheme="majorEastAsia"/>
        </w:rPr>
      </w:pPr>
      <w:r>
        <w:rPr>
          <w:rFonts w:eastAsiaTheme="majorEastAsia"/>
        </w:rPr>
        <w:t>Systém sestává z palubní jednotky (OBU) a sledovacího centra, které jsou propojeny mezi sebou sítí internet. V případě sledovacího centra se jedná o pevné připojení, v případě OBU se jedná o mobilní připojení řešené přes sítě GSM/GPRS/UMTS mobilních operátorů. Mobilní jednotka tak umožňuje vytvořit v reálném čase spojení se sledovacím centrem datové i hlasové. Aktuální polohu zjišťuje OBU pomocí systému GPS.</w:t>
      </w:r>
    </w:p>
    <w:p w:rsidR="00805A67" w:rsidRDefault="00805A67" w:rsidP="005C7267">
      <w:pPr>
        <w:ind w:firstLine="0"/>
        <w:jc w:val="center"/>
        <w:rPr>
          <w:rFonts w:eastAsiaTheme="majorEastAsia"/>
        </w:rPr>
      </w:pPr>
      <w:r>
        <w:rPr>
          <w:rFonts w:eastAsiaTheme="majorEastAsia"/>
          <w:noProof/>
        </w:rPr>
        <w:drawing>
          <wp:inline distT="0" distB="0" distL="0" distR="0">
            <wp:extent cx="5760720" cy="3211660"/>
            <wp:effectExtent l="19050" t="0" r="0"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srcRect/>
                    <a:stretch>
                      <a:fillRect/>
                    </a:stretch>
                  </pic:blipFill>
                  <pic:spPr bwMode="auto">
                    <a:xfrm>
                      <a:off x="0" y="0"/>
                      <a:ext cx="5760720" cy="3211660"/>
                    </a:xfrm>
                    <a:prstGeom prst="rect">
                      <a:avLst/>
                    </a:prstGeom>
                    <a:noFill/>
                    <a:ln w="9525">
                      <a:noFill/>
                      <a:miter lim="800000"/>
                      <a:headEnd/>
                      <a:tailEnd/>
                    </a:ln>
                  </pic:spPr>
                </pic:pic>
              </a:graphicData>
            </a:graphic>
          </wp:inline>
        </w:drawing>
      </w:r>
    </w:p>
    <w:p w:rsidR="00805A67" w:rsidRPr="0014708C" w:rsidRDefault="00805A67" w:rsidP="005C7267">
      <w:pPr>
        <w:ind w:firstLine="284"/>
        <w:rPr>
          <w:rFonts w:eastAsiaTheme="majorEastAsia"/>
          <w:i/>
        </w:rPr>
      </w:pPr>
      <w:r w:rsidRPr="0040320F">
        <w:rPr>
          <w:rFonts w:eastAsiaTheme="majorEastAsia"/>
          <w:i/>
        </w:rPr>
        <w:t>Obr. SK1. Základní komponenty informačního systému pro sledován</w:t>
      </w:r>
      <w:r w:rsidR="0014708C">
        <w:rPr>
          <w:rFonts w:eastAsiaTheme="majorEastAsia"/>
          <w:i/>
        </w:rPr>
        <w:t xml:space="preserve">í přeprav nebezpečného nákladu, Zdroj </w:t>
      </w:r>
      <w:r w:rsidR="0014708C" w:rsidRPr="0014708C">
        <w:rPr>
          <w:rFonts w:eastAsiaTheme="majorEastAsia"/>
          <w:i/>
        </w:rPr>
        <w:t>[</w:t>
      </w:r>
      <w:r w:rsidR="0014708C">
        <w:rPr>
          <w:rFonts w:eastAsiaTheme="majorEastAsia"/>
          <w:i/>
        </w:rPr>
        <w:t>SK12</w:t>
      </w:r>
      <w:r w:rsidR="0014708C" w:rsidRPr="0014708C">
        <w:rPr>
          <w:rFonts w:eastAsiaTheme="majorEastAsia"/>
          <w:i/>
        </w:rPr>
        <w:t>]</w:t>
      </w:r>
    </w:p>
    <w:p w:rsidR="00805A67" w:rsidRDefault="00805A67" w:rsidP="005C7267">
      <w:pPr>
        <w:ind w:firstLine="284"/>
        <w:rPr>
          <w:rFonts w:eastAsiaTheme="majorEastAsia"/>
        </w:rPr>
      </w:pPr>
      <w:r>
        <w:rPr>
          <w:rFonts w:eastAsiaTheme="majorEastAsia"/>
        </w:rPr>
        <w:t>OBU je napojena přímo na sběrnici vozidla CAN. Díky tomu získává přístup k senzorové síti vozidla a fakticky tak může monitorovat veškeré dění ve vozidle. Jednotlivé senzory jsou vybaveny vlastním procesorem, který údaje předzpracovává a má přímý kontakt na sběrnici CAN. Dále má připojené externí komponenty – GSM/GPRS modul, GPS modul, LCD s dotykovým panelem pro pohodlnější ovládání, audio výstup a napájení. Viz. obr. SK2.</w:t>
      </w:r>
    </w:p>
    <w:p w:rsidR="00805A67" w:rsidRDefault="00805A67" w:rsidP="005C7267">
      <w:pPr>
        <w:ind w:firstLine="142"/>
        <w:jc w:val="center"/>
        <w:rPr>
          <w:rFonts w:eastAsiaTheme="majorEastAsia"/>
        </w:rPr>
      </w:pPr>
      <w:r>
        <w:rPr>
          <w:rFonts w:eastAsiaTheme="majorEastAsia"/>
          <w:noProof/>
        </w:rPr>
        <w:lastRenderedPageBreak/>
        <w:drawing>
          <wp:inline distT="0" distB="0" distL="0" distR="0">
            <wp:extent cx="5502976" cy="3258080"/>
            <wp:effectExtent l="19050" t="0" r="2474" b="0"/>
            <wp:docPr id="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srcRect/>
                    <a:stretch>
                      <a:fillRect/>
                    </a:stretch>
                  </pic:blipFill>
                  <pic:spPr bwMode="auto">
                    <a:xfrm>
                      <a:off x="0" y="0"/>
                      <a:ext cx="5506948" cy="3260432"/>
                    </a:xfrm>
                    <a:prstGeom prst="rect">
                      <a:avLst/>
                    </a:prstGeom>
                    <a:noFill/>
                    <a:ln w="9525">
                      <a:noFill/>
                      <a:miter lim="800000"/>
                      <a:headEnd/>
                      <a:tailEnd/>
                    </a:ln>
                  </pic:spPr>
                </pic:pic>
              </a:graphicData>
            </a:graphic>
          </wp:inline>
        </w:drawing>
      </w:r>
    </w:p>
    <w:p w:rsidR="00805A67" w:rsidRPr="0013230A" w:rsidRDefault="00805A67" w:rsidP="005C7267">
      <w:pPr>
        <w:ind w:firstLine="0"/>
        <w:jc w:val="center"/>
        <w:rPr>
          <w:rFonts w:eastAsiaTheme="majorEastAsia"/>
          <w:i/>
        </w:rPr>
      </w:pPr>
      <w:r w:rsidRPr="0013230A">
        <w:rPr>
          <w:rFonts w:eastAsiaTheme="majorEastAsia"/>
          <w:i/>
        </w:rPr>
        <w:t>Obr. SK2. Blokové s</w:t>
      </w:r>
      <w:r w:rsidR="0014708C">
        <w:rPr>
          <w:rFonts w:eastAsiaTheme="majorEastAsia"/>
          <w:i/>
        </w:rPr>
        <w:t xml:space="preserve">chéma palubní jednotky vozidla, Zdroj </w:t>
      </w:r>
      <w:r w:rsidR="0014708C" w:rsidRPr="0014708C">
        <w:rPr>
          <w:rFonts w:eastAsiaTheme="majorEastAsia"/>
          <w:i/>
        </w:rPr>
        <w:t>[</w:t>
      </w:r>
      <w:r w:rsidR="0014708C">
        <w:rPr>
          <w:rFonts w:eastAsiaTheme="majorEastAsia"/>
          <w:i/>
        </w:rPr>
        <w:t>SK12</w:t>
      </w:r>
      <w:r w:rsidR="0014708C" w:rsidRPr="0014708C">
        <w:rPr>
          <w:rFonts w:eastAsiaTheme="majorEastAsia"/>
          <w:i/>
        </w:rPr>
        <w:t>]</w:t>
      </w:r>
    </w:p>
    <w:p w:rsidR="00805A67" w:rsidRDefault="00805A67" w:rsidP="00805A67">
      <w:pPr>
        <w:jc w:val="center"/>
        <w:rPr>
          <w:rFonts w:eastAsiaTheme="majorEastAsia"/>
        </w:rPr>
      </w:pPr>
      <w:r>
        <w:rPr>
          <w:rFonts w:eastAsiaTheme="majorEastAsia"/>
          <w:noProof/>
        </w:rPr>
        <w:drawing>
          <wp:inline distT="0" distB="0" distL="0" distR="0">
            <wp:extent cx="4232316" cy="3234380"/>
            <wp:effectExtent l="19050" t="0" r="0" b="0"/>
            <wp:docPr id="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4236718" cy="3237744"/>
                    </a:xfrm>
                    <a:prstGeom prst="rect">
                      <a:avLst/>
                    </a:prstGeom>
                    <a:noFill/>
                    <a:ln w="9525">
                      <a:noFill/>
                      <a:miter lim="800000"/>
                      <a:headEnd/>
                      <a:tailEnd/>
                    </a:ln>
                  </pic:spPr>
                </pic:pic>
              </a:graphicData>
            </a:graphic>
          </wp:inline>
        </w:drawing>
      </w:r>
    </w:p>
    <w:p w:rsidR="00805A67" w:rsidRPr="0001696D" w:rsidRDefault="00805A67" w:rsidP="00805A67">
      <w:pPr>
        <w:jc w:val="center"/>
        <w:rPr>
          <w:rFonts w:eastAsiaTheme="majorEastAsia"/>
          <w:i/>
        </w:rPr>
      </w:pPr>
      <w:r>
        <w:rPr>
          <w:rFonts w:eastAsiaTheme="majorEastAsia"/>
          <w:i/>
        </w:rPr>
        <w:t>Obr. SK3. Obecné blo</w:t>
      </w:r>
      <w:r w:rsidR="0014708C">
        <w:rPr>
          <w:rFonts w:eastAsiaTheme="majorEastAsia"/>
          <w:i/>
        </w:rPr>
        <w:t xml:space="preserve">kové schéma senzorové jednotky, Zdroj </w:t>
      </w:r>
      <w:r w:rsidR="0014708C" w:rsidRPr="0014708C">
        <w:rPr>
          <w:rFonts w:eastAsiaTheme="majorEastAsia"/>
          <w:i/>
        </w:rPr>
        <w:t>[</w:t>
      </w:r>
      <w:r w:rsidR="0014708C">
        <w:rPr>
          <w:rFonts w:eastAsiaTheme="majorEastAsia"/>
          <w:i/>
        </w:rPr>
        <w:t>SK12</w:t>
      </w:r>
      <w:r w:rsidR="0014708C" w:rsidRPr="0014708C">
        <w:rPr>
          <w:rFonts w:eastAsiaTheme="majorEastAsia"/>
          <w:i/>
        </w:rPr>
        <w:t>]</w:t>
      </w:r>
    </w:p>
    <w:p w:rsidR="00053B1E" w:rsidRDefault="00053B1E" w:rsidP="00053B1E">
      <w:pPr>
        <w:spacing w:after="0"/>
      </w:pPr>
      <w:r w:rsidRPr="00053B1E">
        <w:rPr>
          <w:rFonts w:eastAsiaTheme="majorEastAsia"/>
        </w:rPr>
        <w:t xml:space="preserve">Zdroj: </w:t>
      </w:r>
      <w:r>
        <w:t>VACULÍK, M., VESTENICKÝ, P., VESTENICKÝ, M.: Palubná jednotka vozidla. In: Zborník príspevkov z Medzinárodnej konferencie ITS’07 Bratislava,</w:t>
      </w:r>
      <w:r>
        <w:br/>
        <w:t>11. – 12. 9. 2007, Bratislava. ISBN 978-80-254-0207-8</w:t>
      </w:r>
    </w:p>
    <w:p w:rsidR="00053B1E" w:rsidRDefault="00053B1E" w:rsidP="00053B1E">
      <w:pPr>
        <w:rPr>
          <w:i/>
        </w:rPr>
      </w:pPr>
      <w:r>
        <w:t xml:space="preserve">Soubor: </w:t>
      </w:r>
      <w:r w:rsidRPr="006D58E2">
        <w:rPr>
          <w:i/>
        </w:rPr>
        <w:t>14_Vaculik_Vestenicky_ZU.pdf</w:t>
      </w:r>
    </w:p>
    <w:p w:rsidR="00A91E03" w:rsidRDefault="00A91E03">
      <w:pPr>
        <w:spacing w:after="0"/>
        <w:ind w:firstLine="0"/>
        <w:jc w:val="left"/>
        <w:rPr>
          <w:rFonts w:eastAsiaTheme="majorEastAsia"/>
        </w:rPr>
      </w:pPr>
      <w:r>
        <w:rPr>
          <w:rFonts w:eastAsiaTheme="majorEastAsia"/>
        </w:rPr>
        <w:br w:type="page"/>
      </w:r>
    </w:p>
    <w:p w:rsidR="00805A67" w:rsidRPr="002E6108" w:rsidRDefault="00805A67" w:rsidP="00805A67">
      <w:pPr>
        <w:pStyle w:val="Nadpis3"/>
        <w:rPr>
          <w:rFonts w:ascii="Times New Roman" w:eastAsiaTheme="majorEastAsia" w:hAnsi="Times New Roman"/>
          <w:sz w:val="28"/>
        </w:rPr>
      </w:pPr>
      <w:bookmarkStart w:id="69" w:name="_Toc318723058"/>
      <w:bookmarkStart w:id="70" w:name="_Toc326741531"/>
      <w:r w:rsidRPr="002E6108">
        <w:rPr>
          <w:rFonts w:ascii="Times New Roman" w:eastAsiaTheme="majorEastAsia" w:hAnsi="Times New Roman"/>
          <w:sz w:val="28"/>
        </w:rPr>
        <w:lastRenderedPageBreak/>
        <w:t>HW, SW, operační systém a další IT požadavky</w:t>
      </w:r>
      <w:bookmarkEnd w:id="69"/>
      <w:bookmarkEnd w:id="70"/>
    </w:p>
    <w:p w:rsidR="00805A67" w:rsidRDefault="00805A67" w:rsidP="00053B1E">
      <w:pPr>
        <w:ind w:firstLine="284"/>
        <w:rPr>
          <w:rFonts w:eastAsiaTheme="majorEastAsia"/>
        </w:rPr>
      </w:pPr>
      <w:r>
        <w:rPr>
          <w:rFonts w:eastAsiaTheme="majorEastAsia"/>
        </w:rPr>
        <w:t xml:space="preserve">Řídící a komunikační část palubní jednotky je založená na jednodeskovém průmyslovém modulu PC NANO-7270G (firmy IEI Technology). Je vybavená procesorem Intel Pentium M s frekvencí 1,7 GHz, sběrnicí 400 MHz, DDR 1 Gb a místo HDD je instalovaná paměťová karta typu CF s kapacitou 4 GB. Na modulu je provozován operační systém Windows XP Professional. Aplikační softwarové </w:t>
      </w:r>
      <w:r w:rsidR="00053B1E">
        <w:rPr>
          <w:rFonts w:eastAsiaTheme="majorEastAsia"/>
        </w:rPr>
        <w:t>vybavení je detailně popsané v uvedené literatuře.</w:t>
      </w:r>
    </w:p>
    <w:p w:rsidR="00805A67" w:rsidRDefault="00805A67" w:rsidP="00053B1E">
      <w:pPr>
        <w:ind w:firstLine="0"/>
        <w:jc w:val="center"/>
        <w:rPr>
          <w:rFonts w:eastAsiaTheme="majorEastAsia"/>
        </w:rPr>
      </w:pPr>
      <w:r>
        <w:rPr>
          <w:rFonts w:eastAsiaTheme="majorEastAsia"/>
          <w:noProof/>
        </w:rPr>
        <w:drawing>
          <wp:inline distT="0" distB="0" distL="0" distR="0">
            <wp:extent cx="5760720" cy="2318425"/>
            <wp:effectExtent l="19050" t="0" r="0" b="0"/>
            <wp:docPr id="1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srcRect/>
                    <a:stretch>
                      <a:fillRect/>
                    </a:stretch>
                  </pic:blipFill>
                  <pic:spPr bwMode="auto">
                    <a:xfrm>
                      <a:off x="0" y="0"/>
                      <a:ext cx="5760720" cy="2318425"/>
                    </a:xfrm>
                    <a:prstGeom prst="rect">
                      <a:avLst/>
                    </a:prstGeom>
                    <a:noFill/>
                    <a:ln w="9525">
                      <a:noFill/>
                      <a:miter lim="800000"/>
                      <a:headEnd/>
                      <a:tailEnd/>
                    </a:ln>
                  </pic:spPr>
                </pic:pic>
              </a:graphicData>
            </a:graphic>
          </wp:inline>
        </w:drawing>
      </w:r>
    </w:p>
    <w:p w:rsidR="00805A67" w:rsidRPr="00F53CB9" w:rsidRDefault="00805A67" w:rsidP="00053B1E">
      <w:pPr>
        <w:ind w:firstLine="0"/>
        <w:jc w:val="center"/>
        <w:rPr>
          <w:rFonts w:eastAsiaTheme="majorEastAsia"/>
          <w:i/>
        </w:rPr>
      </w:pPr>
      <w:r w:rsidRPr="00F53CB9">
        <w:rPr>
          <w:rFonts w:eastAsiaTheme="majorEastAsia"/>
          <w:i/>
        </w:rPr>
        <w:t>Obr. SK3. Řídicí modul EPIC</w:t>
      </w:r>
      <w:r w:rsidR="00053B1E">
        <w:rPr>
          <w:rFonts w:eastAsiaTheme="majorEastAsia"/>
          <w:i/>
        </w:rPr>
        <w:t xml:space="preserve"> NANO-7270G a CAN karta MSMC104</w:t>
      </w:r>
      <w:r w:rsidR="0014708C">
        <w:rPr>
          <w:rFonts w:eastAsiaTheme="majorEastAsia"/>
          <w:i/>
        </w:rPr>
        <w:t xml:space="preserve">, Zdroj </w:t>
      </w:r>
      <w:r w:rsidR="0014708C" w:rsidRPr="0014708C">
        <w:rPr>
          <w:rFonts w:eastAsiaTheme="majorEastAsia"/>
          <w:i/>
        </w:rPr>
        <w:t>[</w:t>
      </w:r>
      <w:r w:rsidR="0014708C">
        <w:rPr>
          <w:rFonts w:eastAsiaTheme="majorEastAsia"/>
          <w:i/>
        </w:rPr>
        <w:t>SK13</w:t>
      </w:r>
      <w:r w:rsidR="0014708C" w:rsidRPr="0014708C">
        <w:rPr>
          <w:rFonts w:eastAsiaTheme="majorEastAsia"/>
          <w:i/>
        </w:rPr>
        <w:t>]</w:t>
      </w:r>
    </w:p>
    <w:p w:rsidR="00ED17B7" w:rsidRDefault="008877C9" w:rsidP="00053B1E">
      <w:pPr>
        <w:jc w:val="center"/>
        <w:rPr>
          <w:rFonts w:eastAsiaTheme="majorEastAsia"/>
        </w:rPr>
      </w:pPr>
      <w:r>
        <w:rPr>
          <w:rFonts w:eastAsiaTheme="majorEastAsia"/>
          <w:noProof/>
        </w:rPr>
        <w:drawing>
          <wp:inline distT="0" distB="0" distL="0" distR="0">
            <wp:extent cx="3424794" cy="3380412"/>
            <wp:effectExtent l="19050" t="0" r="4206" b="0"/>
            <wp:docPr id="5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3422681" cy="3378327"/>
                    </a:xfrm>
                    <a:prstGeom prst="rect">
                      <a:avLst/>
                    </a:prstGeom>
                    <a:noFill/>
                    <a:ln w="9525">
                      <a:noFill/>
                      <a:miter lim="800000"/>
                      <a:headEnd/>
                      <a:tailEnd/>
                    </a:ln>
                  </pic:spPr>
                </pic:pic>
              </a:graphicData>
            </a:graphic>
          </wp:inline>
        </w:drawing>
      </w:r>
    </w:p>
    <w:p w:rsidR="008877C9" w:rsidRPr="00F53CB9" w:rsidRDefault="008877C9" w:rsidP="00053B1E">
      <w:pPr>
        <w:ind w:firstLine="0"/>
        <w:jc w:val="center"/>
        <w:rPr>
          <w:rFonts w:eastAsiaTheme="majorEastAsia"/>
          <w:i/>
        </w:rPr>
      </w:pPr>
      <w:r w:rsidRPr="00F53CB9">
        <w:rPr>
          <w:rFonts w:eastAsiaTheme="majorEastAsia"/>
          <w:i/>
        </w:rPr>
        <w:t>Obr. SK</w:t>
      </w:r>
      <w:r>
        <w:rPr>
          <w:rFonts w:eastAsiaTheme="majorEastAsia"/>
          <w:i/>
        </w:rPr>
        <w:t>4</w:t>
      </w:r>
      <w:r w:rsidRPr="00F53CB9">
        <w:rPr>
          <w:rFonts w:eastAsiaTheme="majorEastAsia"/>
          <w:i/>
        </w:rPr>
        <w:t xml:space="preserve">. </w:t>
      </w:r>
      <w:r>
        <w:rPr>
          <w:rFonts w:eastAsiaTheme="majorEastAsia"/>
          <w:i/>
        </w:rPr>
        <w:t>Prototyp pa</w:t>
      </w:r>
      <w:r w:rsidR="0014708C">
        <w:rPr>
          <w:rFonts w:eastAsiaTheme="majorEastAsia"/>
          <w:i/>
        </w:rPr>
        <w:t xml:space="preserve">lubní jednotky a senzorové sítě, Zdroj </w:t>
      </w:r>
      <w:r w:rsidR="0014708C" w:rsidRPr="0014708C">
        <w:rPr>
          <w:rFonts w:eastAsiaTheme="majorEastAsia"/>
          <w:i/>
        </w:rPr>
        <w:t>[</w:t>
      </w:r>
      <w:r w:rsidR="0014708C">
        <w:rPr>
          <w:rFonts w:eastAsiaTheme="majorEastAsia"/>
          <w:i/>
        </w:rPr>
        <w:t>SK13</w:t>
      </w:r>
      <w:r w:rsidR="0014708C" w:rsidRPr="0014708C">
        <w:rPr>
          <w:rFonts w:eastAsiaTheme="majorEastAsia"/>
          <w:i/>
        </w:rPr>
        <w:t>]</w:t>
      </w:r>
    </w:p>
    <w:p w:rsidR="00053B1E" w:rsidRDefault="00053B1E" w:rsidP="00053B1E">
      <w:pPr>
        <w:spacing w:after="0"/>
        <w:ind w:firstLine="284"/>
      </w:pPr>
      <w:r>
        <w:rPr>
          <w:rFonts w:eastAsiaTheme="majorEastAsia"/>
        </w:rPr>
        <w:t xml:space="preserve">Zdroj: </w:t>
      </w:r>
      <w:r>
        <w:t>VACULÍK, M., FRANEKOVÁ, M., VESTENICKÝ, P., VESTENICKÝ, M.: On-BoardUnit and its Possibilities of Communications on Safety and Security Principles. In: Advances in Electrical and Electronic Engineering, vol. 7, 2008, No. 1-2, pages 235-238. ISSN 1336 – 1376</w:t>
      </w:r>
    </w:p>
    <w:p w:rsidR="00053B1E" w:rsidRPr="00ED7505" w:rsidRDefault="00053B1E" w:rsidP="00053B1E">
      <w:pPr>
        <w:ind w:firstLine="284"/>
        <w:rPr>
          <w:rFonts w:eastAsiaTheme="majorEastAsia"/>
        </w:rPr>
      </w:pPr>
      <w:r>
        <w:t xml:space="preserve">Soubor: </w:t>
      </w:r>
      <w:r w:rsidRPr="006D58E2">
        <w:rPr>
          <w:i/>
        </w:rPr>
        <w:t>Advances_235-238_vaculik_franekova.pdf</w:t>
      </w:r>
    </w:p>
    <w:p w:rsidR="002E6108" w:rsidRDefault="002E6108" w:rsidP="002E6108">
      <w:pPr>
        <w:pStyle w:val="Nadpis3"/>
        <w:rPr>
          <w:rFonts w:eastAsiaTheme="majorEastAsia"/>
        </w:rPr>
      </w:pPr>
      <w:bookmarkStart w:id="71" w:name="_Toc326741532"/>
      <w:r>
        <w:rPr>
          <w:rFonts w:eastAsiaTheme="majorEastAsia"/>
        </w:rPr>
        <w:lastRenderedPageBreak/>
        <w:t>Shrnutí</w:t>
      </w:r>
      <w:bookmarkEnd w:id="71"/>
    </w:p>
    <w:p w:rsidR="002E6108" w:rsidRPr="002E6108" w:rsidRDefault="002E6108" w:rsidP="002E6108">
      <w:pPr>
        <w:rPr>
          <w:rFonts w:eastAsiaTheme="majorEastAsia"/>
        </w:rPr>
      </w:pPr>
      <w:r w:rsidRPr="002E6108">
        <w:rPr>
          <w:rFonts w:eastAsiaTheme="majorEastAsia"/>
        </w:rPr>
        <w:t>Monitorování pohybu nebezpečných nákladů je na Slovensku teprve v počátcích. Legislativa přejímá mezinárodní dohody a nijak zvlášť je nerozšiřuje. Monitorování pomocí OBU a podobných zařízení pouze doporučuje. Na Slovensku neexistuje žádný národní systém monitorování ani centrální databáze přepravovaných nebezpečných nákladů. Monitorování jejich pohybu si tak řeší firmy sami a díky tomu neexistuje žádné standardizované propojení mezi dopravci a záchrannými složkami. Dle zjištěných informací se mnohdy ani nedodržují mezinárodní smlouvy a přeprava nebezpečných nákladů probíhá takzvaně „na černo“.</w:t>
      </w:r>
    </w:p>
    <w:p w:rsidR="002E6108" w:rsidRPr="002E6108" w:rsidRDefault="002E6108" w:rsidP="002E6108">
      <w:pPr>
        <w:rPr>
          <w:rFonts w:eastAsiaTheme="majorEastAsia"/>
        </w:rPr>
      </w:pPr>
      <w:r w:rsidRPr="002E6108">
        <w:rPr>
          <w:rFonts w:eastAsiaTheme="majorEastAsia"/>
        </w:rPr>
        <w:t xml:space="preserve">Na Slovensku vznikl z evropského grantu </w:t>
      </w:r>
      <w:r w:rsidRPr="002E6108">
        <w:t>CONNECT</w:t>
      </w:r>
      <w:r w:rsidRPr="002E6108">
        <w:rPr>
          <w:rFonts w:eastAsiaTheme="majorEastAsia"/>
        </w:rPr>
        <w:t xml:space="preserve"> pilotní projekt palubní jednotky OBU. Její vývoj byl ukončen, následně byla řešena realizovatelnost a organizační příprava. V současné době se řeší možnost zapojení mýtné infrastruktury do monitorování nebezpečného nákladu. Zavedení systému je tedy plánované, nicméně není ze strany státních orgánů potvrzené.</w:t>
      </w:r>
    </w:p>
    <w:p w:rsidR="002E6108" w:rsidRPr="002E6108" w:rsidRDefault="002E6108" w:rsidP="002E6108">
      <w:pPr>
        <w:rPr>
          <w:rFonts w:eastAsiaTheme="majorEastAsia"/>
        </w:rPr>
      </w:pPr>
      <w:r w:rsidRPr="002E6108">
        <w:rPr>
          <w:rFonts w:eastAsiaTheme="majorEastAsia"/>
        </w:rPr>
        <w:t>V železniční dopravě probíhá zavedené předávání informací mezi dopravci a správcem železniční infrastruktury. Sledování tak probíhá tradičními železničními prostředky. Na využití ETCS není připravena infrastruktura a nasazení OBU je považováno ze strany dopravců za příliš velkou investici.</w:t>
      </w:r>
    </w:p>
    <w:p w:rsidR="00805A67" w:rsidRPr="008317A1" w:rsidRDefault="00805A67" w:rsidP="00805A67">
      <w:pPr>
        <w:pStyle w:val="Nadpis1"/>
        <w:rPr>
          <w:rFonts w:eastAsiaTheme="majorEastAsia" w:cstheme="majorBidi"/>
          <w:bCs w:val="0"/>
          <w:szCs w:val="26"/>
        </w:rPr>
      </w:pPr>
      <w:bookmarkStart w:id="72" w:name="_Toc326741533"/>
      <w:r>
        <w:rPr>
          <w:rFonts w:eastAsiaTheme="majorEastAsia" w:cstheme="majorBidi"/>
          <w:bCs w:val="0"/>
          <w:szCs w:val="26"/>
        </w:rPr>
        <w:lastRenderedPageBreak/>
        <w:t>Analýza a p</w:t>
      </w:r>
      <w:r w:rsidRPr="008317A1">
        <w:rPr>
          <w:rFonts w:eastAsiaTheme="majorEastAsia" w:cstheme="majorBidi"/>
          <w:bCs w:val="0"/>
          <w:szCs w:val="26"/>
        </w:rPr>
        <w:t xml:space="preserve">opis systému </w:t>
      </w:r>
      <w:r w:rsidR="004212AC">
        <w:rPr>
          <w:rFonts w:eastAsiaTheme="majorEastAsia" w:cstheme="majorBidi"/>
          <w:bCs w:val="0"/>
          <w:szCs w:val="26"/>
        </w:rPr>
        <w:t>–</w:t>
      </w:r>
      <w:r>
        <w:rPr>
          <w:rFonts w:eastAsiaTheme="majorEastAsia" w:cstheme="majorBidi"/>
          <w:bCs w:val="0"/>
          <w:szCs w:val="26"/>
        </w:rPr>
        <w:t xml:space="preserve"> </w:t>
      </w:r>
      <w:r w:rsidR="004212AC">
        <w:rPr>
          <w:rFonts w:eastAsiaTheme="majorEastAsia" w:cstheme="majorBidi"/>
          <w:bCs w:val="0"/>
          <w:szCs w:val="26"/>
        </w:rPr>
        <w:t xml:space="preserve">projekty v rámci </w:t>
      </w:r>
      <w:r>
        <w:rPr>
          <w:rFonts w:eastAsiaTheme="majorEastAsia" w:cstheme="majorBidi"/>
          <w:bCs w:val="0"/>
          <w:szCs w:val="26"/>
        </w:rPr>
        <w:t>Evrop</w:t>
      </w:r>
      <w:r w:rsidR="004212AC">
        <w:rPr>
          <w:rFonts w:eastAsiaTheme="majorEastAsia" w:cstheme="majorBidi"/>
          <w:bCs w:val="0"/>
          <w:szCs w:val="26"/>
        </w:rPr>
        <w:t>y</w:t>
      </w:r>
      <w:bookmarkEnd w:id="72"/>
    </w:p>
    <w:p w:rsidR="00805A67" w:rsidRDefault="00805A67" w:rsidP="00805A67">
      <w:pPr>
        <w:pStyle w:val="Nadpis2"/>
        <w:rPr>
          <w:rFonts w:eastAsiaTheme="majorEastAsia"/>
        </w:rPr>
      </w:pPr>
      <w:r w:rsidRPr="008317A1">
        <w:rPr>
          <w:rFonts w:eastAsiaTheme="majorEastAsia"/>
        </w:rPr>
        <w:tab/>
      </w:r>
      <w:bookmarkStart w:id="73" w:name="_Toc326741534"/>
      <w:r>
        <w:rPr>
          <w:rFonts w:eastAsiaTheme="majorEastAsia"/>
        </w:rPr>
        <w:t>L</w:t>
      </w:r>
      <w:r w:rsidRPr="008317A1">
        <w:rPr>
          <w:rFonts w:eastAsiaTheme="majorEastAsia"/>
        </w:rPr>
        <w:t>egislativní rámec</w:t>
      </w:r>
      <w:bookmarkEnd w:id="73"/>
    </w:p>
    <w:p w:rsidR="004212AC" w:rsidRDefault="00805A67" w:rsidP="004212AC">
      <w:pPr>
        <w:spacing w:before="120"/>
        <w:ind w:firstLine="284"/>
        <w:rPr>
          <w:rFonts w:eastAsiaTheme="majorEastAsia"/>
        </w:rPr>
      </w:pPr>
      <w:r>
        <w:rPr>
          <w:rFonts w:eastAsiaTheme="majorEastAsia"/>
        </w:rPr>
        <w:t xml:space="preserve">Na evropské úrovni se zabývá pravidly pro přepravu nebezpečného nákladu směrnice Evropského parlamentu a Rady - </w:t>
      </w:r>
      <w:r w:rsidRPr="00D01084">
        <w:rPr>
          <w:lang w:val="en-US"/>
        </w:rPr>
        <w:t>Directive 2008/68/EC of the European parliament and of the Council of 24 September 2008 on the inland transport of dangerous goods</w:t>
      </w:r>
      <w:r>
        <w:t>.</w:t>
      </w:r>
      <w:r>
        <w:rPr>
          <w:rFonts w:eastAsiaTheme="majorEastAsia"/>
        </w:rPr>
        <w:t xml:space="preserve"> Tedy směrnice o vnitrozemské přepravě nebezpečného nákladu. Ta se uplatňuje na všechny druhy a typy dopravy v Evropské unii (včetně vnitrostátní i mezinárodní). S ní dále souvisí směrnice 1995/50 – jednotné postupy při kontrole silniční přepravy nebezpečného nákladu, směrnice 1998/91 – motorové a přípojné vozidla (schvalování vozidel pro přepravu nebezpečného nákladu dle ADR), směrnice 2010/35 – přepravovatelné tlakové zařízení a dvě usměrnění – usměrnění o přepravě nebezpečného materiálu živočišného původu a průmyslové usměrnění – bezpečná silniční doprava nebezpečného nákladu.</w:t>
      </w:r>
    </w:p>
    <w:p w:rsidR="00805A67" w:rsidRPr="00ED7505" w:rsidRDefault="004212AC" w:rsidP="004212AC">
      <w:pPr>
        <w:spacing w:before="120"/>
        <w:ind w:firstLine="284"/>
        <w:rPr>
          <w:rFonts w:eastAsiaTheme="majorEastAsia"/>
        </w:rPr>
      </w:pPr>
      <w:r>
        <w:rPr>
          <w:rFonts w:eastAsiaTheme="majorEastAsia"/>
        </w:rPr>
        <w:t>Zdroj:</w:t>
      </w:r>
      <w:r w:rsidRPr="004212AC">
        <w:t xml:space="preserve"> </w:t>
      </w:r>
      <w:hyperlink r:id="rId131" w:history="1">
        <w:r w:rsidRPr="00F14451">
          <w:rPr>
            <w:rStyle w:val="Hypertextovodkaz"/>
            <w:rFonts w:eastAsiaTheme="majorEastAsia"/>
          </w:rPr>
          <w:t>http://ec.europa.eu/transport/road_safety/topics/dangerous_goods/index_sk.htm</w:t>
        </w:r>
      </w:hyperlink>
    </w:p>
    <w:p w:rsidR="00805A67" w:rsidRPr="00F879C3" w:rsidRDefault="00805A67" w:rsidP="00805A67">
      <w:pPr>
        <w:pStyle w:val="Nadpis2"/>
        <w:rPr>
          <w:rFonts w:eastAsiaTheme="majorEastAsia"/>
          <w:sz w:val="30"/>
          <w:szCs w:val="30"/>
        </w:rPr>
      </w:pPr>
      <w:bookmarkStart w:id="74" w:name="_Toc326741535"/>
      <w:r w:rsidRPr="00F879C3">
        <w:rPr>
          <w:rFonts w:eastAsiaTheme="majorEastAsia"/>
          <w:sz w:val="30"/>
          <w:szCs w:val="30"/>
        </w:rPr>
        <w:t>Postupy a aplikace systému</w:t>
      </w:r>
      <w:bookmarkEnd w:id="74"/>
    </w:p>
    <w:p w:rsidR="00805A67" w:rsidRPr="00F879C3" w:rsidRDefault="00805A67" w:rsidP="00805A67">
      <w:pPr>
        <w:pStyle w:val="Nadpis3"/>
        <w:rPr>
          <w:rFonts w:ascii="Times New Roman" w:eastAsiaTheme="majorEastAsia" w:hAnsi="Times New Roman"/>
          <w:sz w:val="28"/>
        </w:rPr>
      </w:pPr>
      <w:bookmarkStart w:id="75" w:name="_Toc326741536"/>
      <w:r w:rsidRPr="00F879C3">
        <w:rPr>
          <w:rFonts w:ascii="Times New Roman" w:eastAsiaTheme="majorEastAsia" w:hAnsi="Times New Roman"/>
          <w:sz w:val="28"/>
        </w:rPr>
        <w:t>Systém MITRA</w:t>
      </w:r>
      <w:bookmarkEnd w:id="75"/>
    </w:p>
    <w:p w:rsidR="00805A67" w:rsidRDefault="00805A67" w:rsidP="004212AC">
      <w:pPr>
        <w:spacing w:before="120"/>
        <w:ind w:firstLine="284"/>
        <w:rPr>
          <w:rFonts w:eastAsiaTheme="majorEastAsia"/>
        </w:rPr>
      </w:pPr>
      <w:r>
        <w:rPr>
          <w:rFonts w:eastAsiaTheme="majorEastAsia"/>
        </w:rPr>
        <w:t xml:space="preserve">Systém MITRA – </w:t>
      </w:r>
      <w:r w:rsidRPr="007C3EAE">
        <w:rPr>
          <w:rFonts w:eastAsiaTheme="majorEastAsia"/>
          <w:lang w:val="en-US"/>
        </w:rPr>
        <w:t>monitoring and intervention for the transportation of dangerous goods</w:t>
      </w:r>
      <w:r>
        <w:rPr>
          <w:rFonts w:eastAsiaTheme="majorEastAsia"/>
        </w:rPr>
        <w:t xml:space="preserve"> – je systém, který byl v letech 2004-2006 financován Evropskou unií jako program </w:t>
      </w:r>
      <w:r w:rsidRPr="007C3EAE">
        <w:rPr>
          <w:rFonts w:eastAsiaTheme="majorEastAsia"/>
        </w:rPr>
        <w:t>FP6-IST</w:t>
      </w:r>
      <w:r>
        <w:rPr>
          <w:rFonts w:eastAsiaTheme="majorEastAsia"/>
        </w:rPr>
        <w:t xml:space="preserve">, podprogram </w:t>
      </w:r>
      <w:r w:rsidRPr="007C3EAE">
        <w:rPr>
          <w:rFonts w:eastAsiaTheme="majorEastAsia"/>
        </w:rPr>
        <w:t xml:space="preserve">IST-2002-2.3.2.9 </w:t>
      </w:r>
      <w:r w:rsidRPr="007C3EAE">
        <w:rPr>
          <w:rFonts w:eastAsiaTheme="majorEastAsia"/>
          <w:lang w:val="en-US"/>
        </w:rPr>
        <w:t>Improving Risk management</w:t>
      </w:r>
      <w:r>
        <w:rPr>
          <w:rFonts w:eastAsiaTheme="majorEastAsia"/>
        </w:rPr>
        <w:t xml:space="preserve">. Na projektu se podílelo 14 subjektů (výzkumných ústavů, univerzit, komerčních subjektů) z Francie (koordinátor), Německa, Španělska a Nizozemska. </w:t>
      </w:r>
    </w:p>
    <w:p w:rsidR="004212AC" w:rsidRDefault="00805A67" w:rsidP="004212AC">
      <w:pPr>
        <w:ind w:firstLine="284"/>
        <w:rPr>
          <w:rFonts w:eastAsiaTheme="majorEastAsia"/>
        </w:rPr>
      </w:pPr>
      <w:r>
        <w:rPr>
          <w:rFonts w:eastAsiaTheme="majorEastAsia"/>
        </w:rPr>
        <w:t>Tento systém inspirovaný řízením letového provozu by měl pomoct zlepšit monitorování stavu a podmínek přepravy nebezpečného nákladu na evropských silnicích. Systém by měl automaticky varovat v případě potenciálně nebezpečné situace a pomáhat – zlepšit efektivitu - informovanost záchranných složek v případě nehody. V rámci projektu MITRA vznikl systém, který poskytuje záchranným složkám informace v reálném čase o poloze radioaktivního materiálu, toxických chemikálií a nebezpečného odpadu přepravovaných v Evropě.</w:t>
      </w:r>
    </w:p>
    <w:p w:rsidR="00805A67" w:rsidRPr="00F879C3" w:rsidRDefault="00805A67" w:rsidP="00805A67">
      <w:pPr>
        <w:pStyle w:val="Nadpis4"/>
        <w:rPr>
          <w:rFonts w:ascii="Times New Roman" w:eastAsiaTheme="majorEastAsia" w:hAnsi="Times New Roman"/>
        </w:rPr>
      </w:pPr>
      <w:bookmarkStart w:id="76" w:name="_Toc326741537"/>
      <w:r w:rsidRPr="00F879C3">
        <w:rPr>
          <w:rFonts w:ascii="Times New Roman" w:eastAsiaTheme="majorEastAsia" w:hAnsi="Times New Roman"/>
        </w:rPr>
        <w:t>Provozovatel aplikace</w:t>
      </w:r>
      <w:bookmarkEnd w:id="76"/>
    </w:p>
    <w:p w:rsidR="00805A67" w:rsidRPr="0041777F" w:rsidRDefault="00805A67" w:rsidP="004212AC">
      <w:pPr>
        <w:spacing w:before="120"/>
        <w:ind w:firstLine="284"/>
        <w:rPr>
          <w:rFonts w:eastAsiaTheme="majorEastAsia"/>
        </w:rPr>
      </w:pPr>
      <w:r>
        <w:rPr>
          <w:rFonts w:eastAsiaTheme="majorEastAsia"/>
        </w:rPr>
        <w:t>V rámci výzkumu tým MITRA, v reálném provozu by se o provoz měla starat regionální centra.</w:t>
      </w:r>
    </w:p>
    <w:p w:rsidR="00805A67" w:rsidRPr="00F879C3" w:rsidRDefault="00805A67" w:rsidP="00805A67">
      <w:pPr>
        <w:pStyle w:val="Nadpis4"/>
        <w:rPr>
          <w:rFonts w:ascii="Times New Roman" w:eastAsiaTheme="majorEastAsia" w:hAnsi="Times New Roman"/>
        </w:rPr>
      </w:pPr>
      <w:bookmarkStart w:id="77" w:name="_Toc326741538"/>
      <w:r w:rsidRPr="00F879C3">
        <w:rPr>
          <w:rFonts w:ascii="Times New Roman" w:eastAsiaTheme="majorEastAsia" w:hAnsi="Times New Roman"/>
        </w:rPr>
        <w:t>Architektura systému, rozhraní</w:t>
      </w:r>
      <w:bookmarkEnd w:id="77"/>
    </w:p>
    <w:p w:rsidR="00805A67" w:rsidRDefault="00805A67" w:rsidP="004212AC">
      <w:pPr>
        <w:spacing w:before="120"/>
        <w:ind w:firstLine="284"/>
        <w:rPr>
          <w:rFonts w:eastAsiaTheme="majorEastAsia"/>
        </w:rPr>
      </w:pPr>
      <w:r>
        <w:rPr>
          <w:rFonts w:eastAsiaTheme="majorEastAsia"/>
        </w:rPr>
        <w:t>Systém MITRA sleduje pohyb nákladních vozidel a vlaků pomocí OBT (</w:t>
      </w:r>
      <w:r w:rsidRPr="00B35CA1">
        <w:rPr>
          <w:rFonts w:eastAsiaTheme="majorEastAsia"/>
          <w:lang w:val="en-US"/>
        </w:rPr>
        <w:t>on-board terminal</w:t>
      </w:r>
      <w:r>
        <w:rPr>
          <w:rFonts w:eastAsiaTheme="majorEastAsia"/>
        </w:rPr>
        <w:t>). Ten v sobě zahrnuje telekomunikační systémy jako je GSM, SMS, GPS a GIS. Integrovány jsou i součásti pro budoucí využití systému EGNOS a Galileo. OBT poskytuje informace o poloze, rychlosti, směru jízdy a nákladu centrálnímu informační a výměnnému serveru (</w:t>
      </w:r>
      <w:r w:rsidRPr="00ED7505">
        <w:rPr>
          <w:rFonts w:eastAsiaTheme="majorEastAsia"/>
        </w:rPr>
        <w:t>central information exchange server</w:t>
      </w:r>
      <w:r>
        <w:rPr>
          <w:rFonts w:eastAsiaTheme="majorEastAsia"/>
        </w:rPr>
        <w:t xml:space="preserve">). </w:t>
      </w:r>
    </w:p>
    <w:p w:rsidR="00805A67" w:rsidRDefault="00805A67" w:rsidP="00CF0EC1">
      <w:pPr>
        <w:ind w:firstLine="0"/>
        <w:jc w:val="center"/>
        <w:rPr>
          <w:rFonts w:eastAsiaTheme="majorEastAsia"/>
        </w:rPr>
      </w:pPr>
      <w:r>
        <w:rPr>
          <w:rFonts w:eastAsiaTheme="majorEastAsia"/>
          <w:noProof/>
        </w:rPr>
        <w:lastRenderedPageBreak/>
        <w:drawing>
          <wp:inline distT="0" distB="0" distL="0" distR="0">
            <wp:extent cx="5105400" cy="3136423"/>
            <wp:effectExtent l="19050" t="0" r="0" b="0"/>
            <wp:docPr id="1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srcRect/>
                    <a:stretch>
                      <a:fillRect/>
                    </a:stretch>
                  </pic:blipFill>
                  <pic:spPr bwMode="auto">
                    <a:xfrm>
                      <a:off x="0" y="0"/>
                      <a:ext cx="5104118" cy="3135635"/>
                    </a:xfrm>
                    <a:prstGeom prst="rect">
                      <a:avLst/>
                    </a:prstGeom>
                    <a:noFill/>
                    <a:ln w="9525">
                      <a:noFill/>
                      <a:miter lim="800000"/>
                      <a:headEnd/>
                      <a:tailEnd/>
                    </a:ln>
                  </pic:spPr>
                </pic:pic>
              </a:graphicData>
            </a:graphic>
          </wp:inline>
        </w:drawing>
      </w:r>
    </w:p>
    <w:p w:rsidR="00805A67" w:rsidRPr="0014708C" w:rsidRDefault="009E3537" w:rsidP="00CF0EC1">
      <w:pPr>
        <w:ind w:firstLine="0"/>
        <w:jc w:val="center"/>
        <w:rPr>
          <w:rFonts w:eastAsiaTheme="majorEastAsia"/>
          <w:i/>
        </w:rPr>
      </w:pPr>
      <w:r>
        <w:rPr>
          <w:rFonts w:eastAsiaTheme="majorEastAsia"/>
          <w:i/>
        </w:rPr>
        <w:t xml:space="preserve">EU - </w:t>
      </w:r>
      <w:r w:rsidR="00805A67">
        <w:rPr>
          <w:rFonts w:eastAsiaTheme="majorEastAsia"/>
          <w:i/>
        </w:rPr>
        <w:t xml:space="preserve">Obr. 1. </w:t>
      </w:r>
      <w:r>
        <w:rPr>
          <w:rFonts w:eastAsiaTheme="majorEastAsia"/>
          <w:i/>
        </w:rPr>
        <w:t xml:space="preserve">- </w:t>
      </w:r>
      <w:r w:rsidR="00805A67">
        <w:rPr>
          <w:rFonts w:eastAsiaTheme="majorEastAsia"/>
          <w:i/>
        </w:rPr>
        <w:t>Ar</w:t>
      </w:r>
      <w:r w:rsidR="0014708C">
        <w:rPr>
          <w:rFonts w:eastAsiaTheme="majorEastAsia"/>
          <w:i/>
        </w:rPr>
        <w:t xml:space="preserve">chitektura systému MITRA, Zdroj </w:t>
      </w:r>
      <w:r w:rsidR="0014708C" w:rsidRPr="0014708C">
        <w:rPr>
          <w:rFonts w:eastAsiaTheme="majorEastAsia"/>
          <w:i/>
          <w:lang w:val="pl-PL"/>
        </w:rPr>
        <w:t>[</w:t>
      </w:r>
      <w:r w:rsidR="0014708C">
        <w:rPr>
          <w:rFonts w:eastAsiaTheme="majorEastAsia"/>
          <w:i/>
          <w:lang w:val="pl-PL"/>
        </w:rPr>
        <w:t>EU2</w:t>
      </w:r>
      <w:r w:rsidR="0014708C" w:rsidRPr="0014708C">
        <w:rPr>
          <w:rFonts w:eastAsiaTheme="majorEastAsia"/>
          <w:i/>
          <w:lang w:val="pl-PL"/>
        </w:rPr>
        <w:t>]</w:t>
      </w:r>
    </w:p>
    <w:p w:rsidR="00805A67" w:rsidRDefault="00805A67" w:rsidP="00CF0EC1">
      <w:pPr>
        <w:ind w:firstLine="284"/>
        <w:rPr>
          <w:rFonts w:eastAsiaTheme="majorEastAsia"/>
        </w:rPr>
      </w:pPr>
      <w:r>
        <w:rPr>
          <w:rFonts w:eastAsiaTheme="majorEastAsia"/>
        </w:rPr>
        <w:t>Server spojuje informace s databázemi, například databází silničního systému, která zahrnuje informace o stavu vozovek, probíhajících pracích na vozovkách, blízkých školách a nemocnicích a nebezpečných a citlivých místech. Dále by měla existovat databáze událostí, která zahrnuje státní svátky a jiné dny volna, festivaly a sportovní události. Tyto události mohou zvyšovat potenciální nebezpečí nehody. Další databáze obsahuje informace o přepravovaném nákladu – o tam jak moc je nebezpečný, jaké jsou požadovány bezpečnostní opatření a jak s ním nakládat v případě nehody. V souvislosti s těmito informacemi je vytvořen model, který popisuje rychlost, s jakou se může nebezpečný náklad rozšířit do okolí v případě nehody. Všechny tyto informace jsou zobrazeny na uživatelském terminále. Řidič tak je informován o nebezpečích spojených s přepravou nákladu a je informován, že projíždí hustěji osídlenou oblastí. Také je informován o aktuální situaci na komunikaci, kterou projíždí a v případě problémů je jeho trasa operativně změněna. Také má informace o v dané oblasti se nacházejících dalších vozidlech s připojeným terminálem, nákladu, které přepravují a možné reakci, kterou může vyvolat kolize jeho a cizího nebezpečného nákladu.</w:t>
      </w:r>
    </w:p>
    <w:p w:rsidR="00805A67" w:rsidRDefault="00805A67" w:rsidP="00CF0EC1">
      <w:pPr>
        <w:ind w:firstLine="0"/>
        <w:jc w:val="center"/>
        <w:rPr>
          <w:rFonts w:eastAsiaTheme="majorEastAsia"/>
        </w:rPr>
      </w:pPr>
      <w:r>
        <w:rPr>
          <w:rFonts w:eastAsiaTheme="majorEastAsia"/>
          <w:noProof/>
        </w:rPr>
        <w:drawing>
          <wp:inline distT="0" distB="0" distL="0" distR="0">
            <wp:extent cx="5200650" cy="2308309"/>
            <wp:effectExtent l="19050" t="0" r="0" b="0"/>
            <wp:docPr id="1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srcRect/>
                    <a:stretch>
                      <a:fillRect/>
                    </a:stretch>
                  </pic:blipFill>
                  <pic:spPr bwMode="auto">
                    <a:xfrm>
                      <a:off x="0" y="0"/>
                      <a:ext cx="5215678" cy="2314979"/>
                    </a:xfrm>
                    <a:prstGeom prst="rect">
                      <a:avLst/>
                    </a:prstGeom>
                    <a:noFill/>
                    <a:ln w="9525">
                      <a:noFill/>
                      <a:miter lim="800000"/>
                      <a:headEnd/>
                      <a:tailEnd/>
                    </a:ln>
                  </pic:spPr>
                </pic:pic>
              </a:graphicData>
            </a:graphic>
          </wp:inline>
        </w:drawing>
      </w:r>
    </w:p>
    <w:p w:rsidR="00805A67" w:rsidRPr="0014708C" w:rsidRDefault="009E3537" w:rsidP="00805A67">
      <w:pPr>
        <w:ind w:firstLine="0"/>
        <w:jc w:val="center"/>
        <w:rPr>
          <w:rFonts w:eastAsiaTheme="majorEastAsia"/>
          <w:i/>
        </w:rPr>
      </w:pPr>
      <w:r>
        <w:rPr>
          <w:rFonts w:eastAsiaTheme="majorEastAsia"/>
          <w:i/>
        </w:rPr>
        <w:t xml:space="preserve">EU - </w:t>
      </w:r>
      <w:r w:rsidR="00805A67">
        <w:rPr>
          <w:rFonts w:eastAsiaTheme="majorEastAsia"/>
          <w:i/>
        </w:rPr>
        <w:t xml:space="preserve">Obr. 2. </w:t>
      </w:r>
      <w:r>
        <w:rPr>
          <w:rFonts w:eastAsiaTheme="majorEastAsia"/>
          <w:i/>
        </w:rPr>
        <w:t xml:space="preserve">- </w:t>
      </w:r>
      <w:r w:rsidR="00805A67">
        <w:rPr>
          <w:rFonts w:eastAsiaTheme="majorEastAsia"/>
          <w:i/>
        </w:rPr>
        <w:t>2D a 3D nástroje GIS pro sledování</w:t>
      </w:r>
      <w:r w:rsidR="0014708C">
        <w:rPr>
          <w:rFonts w:eastAsiaTheme="majorEastAsia"/>
          <w:i/>
        </w:rPr>
        <w:t xml:space="preserve"> přepravy nebezpečného nákladu, Zdroj </w:t>
      </w:r>
      <w:r w:rsidR="0014708C" w:rsidRPr="0014708C">
        <w:rPr>
          <w:rFonts w:eastAsiaTheme="majorEastAsia"/>
          <w:i/>
        </w:rPr>
        <w:t>[EU2]</w:t>
      </w:r>
    </w:p>
    <w:p w:rsidR="00CF0EC1" w:rsidRDefault="00CF0EC1" w:rsidP="00CF0EC1">
      <w:pPr>
        <w:spacing w:after="0"/>
        <w:ind w:firstLine="284"/>
      </w:pPr>
      <w:r>
        <w:rPr>
          <w:rFonts w:eastAsiaTheme="majorEastAsia"/>
        </w:rPr>
        <w:lastRenderedPageBreak/>
        <w:t xml:space="preserve">Zdroj: </w:t>
      </w:r>
      <w:hyperlink r:id="rId134" w:history="1">
        <w:r w:rsidRPr="00F14451">
          <w:rPr>
            <w:rStyle w:val="Hypertextovodkaz"/>
            <w:rFonts w:eastAsiaTheme="majorEastAsia"/>
          </w:rPr>
          <w:t>http://ec.europa.eu/information_society/apps/projects/logos/1/511361/080/publishing/readmore/MITRA_Abstract.pdf</w:t>
        </w:r>
      </w:hyperlink>
    </w:p>
    <w:p w:rsidR="00CF0EC1" w:rsidRPr="00182008" w:rsidRDefault="00CF0EC1" w:rsidP="00CF0EC1">
      <w:pPr>
        <w:spacing w:after="0"/>
        <w:ind w:firstLine="284"/>
        <w:rPr>
          <w:rFonts w:eastAsiaTheme="majorEastAsia"/>
        </w:rPr>
      </w:pPr>
      <w:r>
        <w:rPr>
          <w:rFonts w:eastAsiaTheme="majorEastAsia"/>
        </w:rPr>
        <w:t xml:space="preserve">Soubor: </w:t>
      </w:r>
      <w:r w:rsidRPr="004212AC">
        <w:rPr>
          <w:rFonts w:eastAsiaTheme="majorEastAsia"/>
        </w:rPr>
        <w:t>EU_01_MITRA_Abstract</w:t>
      </w:r>
      <w:r>
        <w:rPr>
          <w:rFonts w:eastAsiaTheme="majorEastAsia"/>
        </w:rPr>
        <w:t>.pdf</w:t>
      </w:r>
    </w:p>
    <w:p w:rsidR="00805A67" w:rsidRDefault="00805A67" w:rsidP="00CF0EC1">
      <w:pPr>
        <w:spacing w:before="120"/>
        <w:ind w:firstLine="284"/>
        <w:rPr>
          <w:rFonts w:eastAsiaTheme="majorEastAsia"/>
        </w:rPr>
      </w:pPr>
      <w:r>
        <w:rPr>
          <w:rFonts w:eastAsiaTheme="majorEastAsia"/>
        </w:rPr>
        <w:t xml:space="preserve">Ve středu 8. března 2006 provedl tým MITRA poblíž Mnichova zkušební simulovanou srážku nákladního vozidla s OBT, převážejícího 24 tun akrylonitrilu a vlaku </w:t>
      </w:r>
      <w:r w:rsidRPr="007B5374">
        <w:rPr>
          <w:rFonts w:eastAsiaTheme="majorEastAsia"/>
        </w:rPr>
        <w:t xml:space="preserve">Bayerische Oberlandbahn </w:t>
      </w:r>
      <w:r>
        <w:rPr>
          <w:rFonts w:eastAsiaTheme="majorEastAsia"/>
        </w:rPr>
        <w:t xml:space="preserve">s OBT simulující převážení 1 tuny chlorinu. Další zkoušky byly provedeny ve Španělsku (Catalunya) a Francii (Perpignan). Testy na francouzsko-španělských hranicích měli ukázat (ukázaly?) předávání vozidel mezi kontrolními centry v Barceloně a ve </w:t>
      </w:r>
      <w:r w:rsidRPr="00AE7B25">
        <w:rPr>
          <w:rFonts w:eastAsiaTheme="majorEastAsia"/>
          <w:lang w:val="fr-FR"/>
        </w:rPr>
        <w:t>Valabre</w:t>
      </w:r>
      <w:r>
        <w:rPr>
          <w:rFonts w:eastAsiaTheme="majorEastAsia"/>
        </w:rPr>
        <w:t xml:space="preserve"> (poblíž </w:t>
      </w:r>
      <w:r w:rsidRPr="00AE7B25">
        <w:rPr>
          <w:rFonts w:eastAsiaTheme="majorEastAsia"/>
          <w:lang w:val="fr-FR"/>
        </w:rPr>
        <w:t>Aix-en Provence</w:t>
      </w:r>
      <w:r>
        <w:rPr>
          <w:rFonts w:eastAsiaTheme="majorEastAsia"/>
        </w:rPr>
        <w:t xml:space="preserve">). </w:t>
      </w:r>
    </w:p>
    <w:p w:rsidR="00F004BF" w:rsidRDefault="00805A67" w:rsidP="00CF0EC1">
      <w:pPr>
        <w:ind w:firstLine="0"/>
        <w:jc w:val="center"/>
        <w:rPr>
          <w:rFonts w:eastAsiaTheme="majorEastAsia"/>
          <w:i/>
        </w:rPr>
      </w:pPr>
      <w:r>
        <w:rPr>
          <w:rFonts w:eastAsiaTheme="majorEastAsia"/>
          <w:noProof/>
        </w:rPr>
        <w:drawing>
          <wp:inline distT="0" distB="0" distL="0" distR="0">
            <wp:extent cx="5010150" cy="5138123"/>
            <wp:effectExtent l="19050" t="0" r="0" b="0"/>
            <wp:docPr id="1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srcRect/>
                    <a:stretch>
                      <a:fillRect/>
                    </a:stretch>
                  </pic:blipFill>
                  <pic:spPr bwMode="auto">
                    <a:xfrm>
                      <a:off x="0" y="0"/>
                      <a:ext cx="5012156" cy="5140181"/>
                    </a:xfrm>
                    <a:prstGeom prst="rect">
                      <a:avLst/>
                    </a:prstGeom>
                    <a:noFill/>
                    <a:ln w="9525">
                      <a:noFill/>
                      <a:miter lim="800000"/>
                      <a:headEnd/>
                      <a:tailEnd/>
                    </a:ln>
                  </pic:spPr>
                </pic:pic>
              </a:graphicData>
            </a:graphic>
          </wp:inline>
        </w:drawing>
      </w:r>
    </w:p>
    <w:p w:rsidR="00CF0EC1" w:rsidRPr="00777748" w:rsidRDefault="009E3537" w:rsidP="00CF0EC1">
      <w:pPr>
        <w:ind w:firstLine="0"/>
        <w:jc w:val="center"/>
        <w:rPr>
          <w:rFonts w:eastAsiaTheme="majorEastAsia"/>
          <w:i/>
        </w:rPr>
      </w:pPr>
      <w:r>
        <w:rPr>
          <w:rFonts w:eastAsiaTheme="majorEastAsia"/>
          <w:i/>
        </w:rPr>
        <w:t xml:space="preserve">EU – obr. 3. - </w:t>
      </w:r>
      <w:r w:rsidR="00805A67" w:rsidRPr="00777748">
        <w:rPr>
          <w:rFonts w:eastAsiaTheme="majorEastAsia"/>
          <w:i/>
        </w:rPr>
        <w:t>Foto ze simulace srážky nákladního vozidla a vlaku vybavených OBT poblíž Mni</w:t>
      </w:r>
      <w:r w:rsidR="0014708C">
        <w:rPr>
          <w:rFonts w:eastAsiaTheme="majorEastAsia"/>
          <w:i/>
        </w:rPr>
        <w:t xml:space="preserve">chova ze středy 8. března 2006, Zdroj </w:t>
      </w:r>
      <w:r w:rsidR="0014708C" w:rsidRPr="0014708C">
        <w:rPr>
          <w:rFonts w:eastAsiaTheme="majorEastAsia"/>
          <w:i/>
        </w:rPr>
        <w:t>[EU</w:t>
      </w:r>
      <w:r w:rsidR="0014708C">
        <w:rPr>
          <w:rFonts w:eastAsiaTheme="majorEastAsia"/>
          <w:i/>
        </w:rPr>
        <w:t>4</w:t>
      </w:r>
      <w:r w:rsidR="0014708C" w:rsidRPr="0014708C">
        <w:rPr>
          <w:rFonts w:eastAsiaTheme="majorEastAsia"/>
          <w:i/>
        </w:rPr>
        <w:t>]</w:t>
      </w:r>
    </w:p>
    <w:p w:rsidR="00CF0EC1" w:rsidRDefault="00805A67" w:rsidP="00F004BF">
      <w:pPr>
        <w:spacing w:after="0"/>
        <w:ind w:firstLine="284"/>
        <w:rPr>
          <w:rFonts w:eastAsiaTheme="majorEastAsia"/>
        </w:rPr>
      </w:pPr>
      <w:r>
        <w:rPr>
          <w:rFonts w:eastAsiaTheme="majorEastAsia"/>
        </w:rPr>
        <w:t xml:space="preserve">Zdroj: </w:t>
      </w:r>
    </w:p>
    <w:p w:rsidR="00CF0EC1" w:rsidRDefault="00107CBA" w:rsidP="00CF0EC1">
      <w:pPr>
        <w:spacing w:after="0"/>
        <w:ind w:firstLine="284"/>
      </w:pPr>
      <w:hyperlink r:id="rId136" w:history="1">
        <w:r w:rsidR="00CF0EC1" w:rsidRPr="00F14451">
          <w:rPr>
            <w:rStyle w:val="Hypertextovodkaz"/>
            <w:rFonts w:eastAsiaTheme="majorEastAsia"/>
          </w:rPr>
          <w:t>http://ec.europa.eu/information_society/apps/projects/logos/1/511361/080/publishing/readmore/2004-10-09-MITRA_Fact_sheet_v2.pdf</w:t>
        </w:r>
      </w:hyperlink>
    </w:p>
    <w:p w:rsidR="00805A67" w:rsidRDefault="00107CBA" w:rsidP="00CF0EC1">
      <w:pPr>
        <w:spacing w:after="0"/>
        <w:ind w:firstLine="284"/>
      </w:pPr>
      <w:hyperlink r:id="rId137" w:history="1">
        <w:r w:rsidR="00CF0EC1" w:rsidRPr="00F14451">
          <w:rPr>
            <w:rStyle w:val="Hypertextovodkaz"/>
            <w:rFonts w:eastAsiaTheme="majorEastAsia"/>
          </w:rPr>
          <w:t>http://ec.europa.eu/information_society/apps/projects/logos/1/511361/080/publishing/readmore/MITRA_Newsletter_Issue_5.pdf</w:t>
        </w:r>
      </w:hyperlink>
    </w:p>
    <w:p w:rsidR="00CF0EC1" w:rsidRDefault="00CF0EC1" w:rsidP="00CF0EC1">
      <w:pPr>
        <w:tabs>
          <w:tab w:val="left" w:pos="1134"/>
        </w:tabs>
        <w:spacing w:after="0"/>
        <w:ind w:firstLine="284"/>
      </w:pPr>
      <w:r>
        <w:t>Soubor:</w:t>
      </w:r>
      <w:r>
        <w:tab/>
      </w:r>
      <w:r w:rsidRPr="00CF0EC1">
        <w:t>EU_02_MITRA_Fact_sheet_v2</w:t>
      </w:r>
    </w:p>
    <w:p w:rsidR="00CF0EC1" w:rsidRDefault="00CF0EC1" w:rsidP="00CF0EC1">
      <w:pPr>
        <w:tabs>
          <w:tab w:val="left" w:pos="1134"/>
        </w:tabs>
        <w:spacing w:after="0"/>
        <w:ind w:firstLine="284"/>
        <w:rPr>
          <w:rFonts w:eastAsiaTheme="majorEastAsia"/>
        </w:rPr>
      </w:pPr>
      <w:r>
        <w:rPr>
          <w:rFonts w:eastAsiaTheme="majorEastAsia"/>
        </w:rPr>
        <w:tab/>
      </w:r>
      <w:r w:rsidRPr="00CF0EC1">
        <w:rPr>
          <w:rFonts w:eastAsiaTheme="majorEastAsia"/>
        </w:rPr>
        <w:t>EU_03_MITRA_Newsletter_Issue_5</w:t>
      </w:r>
    </w:p>
    <w:p w:rsidR="009438FA" w:rsidRDefault="009438FA" w:rsidP="00EF77E9">
      <w:pPr>
        <w:pStyle w:val="Nadpis3"/>
        <w:rPr>
          <w:rFonts w:ascii="Times New Roman" w:eastAsiaTheme="majorEastAsia" w:hAnsi="Times New Roman"/>
          <w:sz w:val="28"/>
        </w:rPr>
      </w:pPr>
      <w:bookmarkStart w:id="78" w:name="_Toc326741539"/>
      <w:r>
        <w:rPr>
          <w:rFonts w:ascii="Times New Roman" w:eastAsiaTheme="majorEastAsia" w:hAnsi="Times New Roman"/>
          <w:sz w:val="28"/>
        </w:rPr>
        <w:lastRenderedPageBreak/>
        <w:t>SCUTUM</w:t>
      </w:r>
      <w:bookmarkEnd w:id="78"/>
      <w:r>
        <w:rPr>
          <w:rFonts w:ascii="Times New Roman" w:eastAsiaTheme="majorEastAsia" w:hAnsi="Times New Roman"/>
          <w:sz w:val="28"/>
        </w:rPr>
        <w:t xml:space="preserve"> </w:t>
      </w:r>
    </w:p>
    <w:p w:rsidR="009438FA" w:rsidRDefault="009438FA" w:rsidP="009438FA">
      <w:pPr>
        <w:spacing w:before="120" w:after="0"/>
        <w:ind w:firstLine="284"/>
        <w:rPr>
          <w:color w:val="000000"/>
          <w:shd w:val="clear" w:color="auto" w:fill="FFFFFF"/>
        </w:rPr>
      </w:pPr>
      <w:r>
        <w:rPr>
          <w:rFonts w:eastAsiaTheme="majorEastAsia"/>
        </w:rPr>
        <w:t xml:space="preserve">Jedná se o projekt řízený Evropskou agenturou pro GNSS (GSA). </w:t>
      </w:r>
      <w:r w:rsidR="00FB44BE">
        <w:rPr>
          <w:rFonts w:eastAsiaTheme="majorEastAsia"/>
        </w:rPr>
        <w:t xml:space="preserve">SCUTUM je akronym z anglického termínu </w:t>
      </w:r>
      <w:r w:rsidR="00FB44BE" w:rsidRPr="00FB44BE">
        <w:rPr>
          <w:color w:val="000000"/>
          <w:szCs w:val="20"/>
          <w:shd w:val="clear" w:color="auto" w:fill="FFFFFF"/>
        </w:rPr>
        <w:t>SeCUring the EU GNSS adopTion in the dangeroUs Material transport</w:t>
      </w:r>
      <w:r w:rsidR="00FB44BE">
        <w:rPr>
          <w:color w:val="000000"/>
          <w:szCs w:val="20"/>
          <w:shd w:val="clear" w:color="auto" w:fill="FFFFFF"/>
        </w:rPr>
        <w:t xml:space="preserve">. Jedná se o tedy o jakési zajištění přijetí GNSS při přepravě nebezpečných věcí. Je založený na </w:t>
      </w:r>
      <w:r w:rsidR="00FB44BE" w:rsidRPr="00FB44BE">
        <w:rPr>
          <w:color w:val="000000"/>
          <w:shd w:val="clear" w:color="auto" w:fill="FFFFFF"/>
        </w:rPr>
        <w:t>systému EGNOS (European Geostationary Navigation Overlay Service)</w:t>
      </w:r>
      <w:r w:rsidR="00FB44BE">
        <w:rPr>
          <w:color w:val="000000"/>
          <w:shd w:val="clear" w:color="auto" w:fill="FFFFFF"/>
        </w:rPr>
        <w:t>. Ten poskytuje větší přesnost ve srovnání s</w:t>
      </w:r>
      <w:r w:rsidR="00501AA0">
        <w:rPr>
          <w:color w:val="000000"/>
          <w:shd w:val="clear" w:color="auto" w:fill="FFFFFF"/>
        </w:rPr>
        <w:t> </w:t>
      </w:r>
      <w:r w:rsidR="00FB44BE">
        <w:rPr>
          <w:color w:val="000000"/>
          <w:shd w:val="clear" w:color="auto" w:fill="FFFFFF"/>
        </w:rPr>
        <w:t>GPS</w:t>
      </w:r>
      <w:r w:rsidR="00501AA0">
        <w:rPr>
          <w:color w:val="000000"/>
          <w:shd w:val="clear" w:color="auto" w:fill="FFFFFF"/>
        </w:rPr>
        <w:t xml:space="preserve"> a je vhodný pro aplikace, které vyžadují přesnou a spolehlivou lokalizaci. </w:t>
      </w:r>
    </w:p>
    <w:p w:rsidR="00501AA0" w:rsidRPr="00274C4E" w:rsidRDefault="00501AA0" w:rsidP="009E3537">
      <w:pPr>
        <w:spacing w:before="120" w:after="0"/>
        <w:ind w:firstLine="284"/>
        <w:rPr>
          <w:rFonts w:eastAsiaTheme="majorEastAsia"/>
        </w:rPr>
      </w:pPr>
      <w:r>
        <w:rPr>
          <w:color w:val="000000"/>
          <w:shd w:val="clear" w:color="auto" w:fill="FFFFFF"/>
        </w:rPr>
        <w:t>Projekt SCUTUM napomohl v přijetí systému EGNOS v rámci Evropy při sledování silničních vozidel s nebezpečnými věcmi. Mezi jednou z několika zapojených firem do projektu je ropná společnost ENI, která přijala EGNOS pro sledování svých vozidel s nebezpečnými věcmi</w:t>
      </w:r>
      <w:r w:rsidR="00274C4E">
        <w:rPr>
          <w:color w:val="000000"/>
          <w:shd w:val="clear" w:color="auto" w:fill="FFFFFF"/>
        </w:rPr>
        <w:t xml:space="preserve">. Zde je nutné poznamenat že se jedná o silniční vozidla a přepravu nebezpečných věcí po silnici. Více než 300 vozidel je vybaveno GPS/EGNOS tracking </w:t>
      </w:r>
      <w:r w:rsidR="00274C4E">
        <w:rPr>
          <w:rFonts w:ascii="Arial" w:hAnsi="Arial" w:cs="Arial"/>
          <w:color w:val="000000"/>
          <w:sz w:val="20"/>
          <w:szCs w:val="20"/>
          <w:shd w:val="clear" w:color="auto" w:fill="FFFFFF"/>
        </w:rPr>
        <w:t xml:space="preserve">&amp; </w:t>
      </w:r>
      <w:r w:rsidR="00274C4E" w:rsidRPr="00274C4E">
        <w:rPr>
          <w:color w:val="000000"/>
          <w:shd w:val="clear" w:color="auto" w:fill="FFFFFF"/>
        </w:rPr>
        <w:t xml:space="preserve">tracing přístroji. </w:t>
      </w:r>
      <w:r w:rsidR="00274C4E">
        <w:rPr>
          <w:color w:val="000000"/>
          <w:shd w:val="clear" w:color="auto" w:fill="FFFFFF"/>
        </w:rPr>
        <w:t xml:space="preserve">SCUTUM také specifikuje standardy pro implementaci EGNOS pro komerční účely v inteligentních dopravních systémech a mobilních aplikací (CEN Workshop Agreement SCUTUM). </w:t>
      </w:r>
    </w:p>
    <w:p w:rsidR="009438FA" w:rsidRDefault="009A4808" w:rsidP="009A4808">
      <w:pPr>
        <w:spacing w:after="0"/>
        <w:ind w:firstLine="0"/>
        <w:jc w:val="center"/>
        <w:rPr>
          <w:rFonts w:eastAsiaTheme="majorEastAsia"/>
        </w:rPr>
      </w:pPr>
      <w:r>
        <w:rPr>
          <w:rFonts w:eastAsiaTheme="majorEastAsia"/>
          <w:noProof/>
        </w:rPr>
        <w:drawing>
          <wp:inline distT="0" distB="0" distL="0" distR="0">
            <wp:extent cx="5019675" cy="2906011"/>
            <wp:effectExtent l="19050" t="0" r="0" b="0"/>
            <wp:docPr id="11" name="Obrázek 10" descr="scu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utum.jpg"/>
                    <pic:cNvPicPr/>
                  </pic:nvPicPr>
                  <pic:blipFill>
                    <a:blip r:embed="rId138" cstate="print"/>
                    <a:stretch>
                      <a:fillRect/>
                    </a:stretch>
                  </pic:blipFill>
                  <pic:spPr>
                    <a:xfrm>
                      <a:off x="0" y="0"/>
                      <a:ext cx="5026162" cy="2909767"/>
                    </a:xfrm>
                    <a:prstGeom prst="rect">
                      <a:avLst/>
                    </a:prstGeom>
                  </pic:spPr>
                </pic:pic>
              </a:graphicData>
            </a:graphic>
          </wp:inline>
        </w:drawing>
      </w:r>
    </w:p>
    <w:p w:rsidR="009438FA" w:rsidRPr="009E3537" w:rsidRDefault="009A4808" w:rsidP="009E3537">
      <w:pPr>
        <w:spacing w:before="120"/>
        <w:ind w:firstLine="284"/>
        <w:jc w:val="center"/>
        <w:rPr>
          <w:rFonts w:eastAsiaTheme="majorEastAsia"/>
          <w:i/>
        </w:rPr>
      </w:pPr>
      <w:r w:rsidRPr="009E3537">
        <w:rPr>
          <w:rFonts w:eastAsiaTheme="majorEastAsia"/>
          <w:i/>
        </w:rPr>
        <w:t xml:space="preserve">EU – Obr. </w:t>
      </w:r>
      <w:r w:rsidR="009E3537" w:rsidRPr="009E3537">
        <w:rPr>
          <w:rFonts w:eastAsiaTheme="majorEastAsia"/>
          <w:i/>
        </w:rPr>
        <w:t>4. – SCUTUM</w:t>
      </w:r>
      <w:r w:rsidR="0014708C">
        <w:rPr>
          <w:rFonts w:eastAsiaTheme="majorEastAsia"/>
          <w:i/>
        </w:rPr>
        <w:t xml:space="preserve">, Zdroj </w:t>
      </w:r>
      <w:r w:rsidR="0014708C" w:rsidRPr="0014708C">
        <w:rPr>
          <w:rFonts w:eastAsiaTheme="majorEastAsia"/>
          <w:i/>
        </w:rPr>
        <w:t>[EU</w:t>
      </w:r>
      <w:r w:rsidR="0014708C">
        <w:rPr>
          <w:rFonts w:eastAsiaTheme="majorEastAsia"/>
          <w:i/>
        </w:rPr>
        <w:t>9</w:t>
      </w:r>
      <w:r w:rsidR="0014708C" w:rsidRPr="0014708C">
        <w:rPr>
          <w:rFonts w:eastAsiaTheme="majorEastAsia"/>
          <w:i/>
        </w:rPr>
        <w:t>]</w:t>
      </w:r>
    </w:p>
    <w:p w:rsidR="009A4808" w:rsidRDefault="009E3537" w:rsidP="009438FA">
      <w:pPr>
        <w:spacing w:after="0"/>
        <w:ind w:firstLine="284"/>
        <w:rPr>
          <w:rFonts w:eastAsiaTheme="majorEastAsia"/>
        </w:rPr>
      </w:pPr>
      <w:r>
        <w:rPr>
          <w:rFonts w:eastAsiaTheme="majorEastAsia"/>
        </w:rPr>
        <w:t xml:space="preserve">V rámci tohoto projektu probíhá několik dynamických testů OBU jednotek. Jedná se především o testování přesnosti v hustě zastavěném území či na plné silnici. Na následujícím obrázku </w:t>
      </w:r>
      <w:r w:rsidRPr="009E3537">
        <w:rPr>
          <w:rFonts w:eastAsiaTheme="majorEastAsia"/>
          <w:i/>
        </w:rPr>
        <w:t>EU – Obr. 5. OBU jednotka</w:t>
      </w:r>
      <w:r>
        <w:rPr>
          <w:rFonts w:eastAsiaTheme="majorEastAsia"/>
        </w:rPr>
        <w:t xml:space="preserve"> je ukázka OBU jednotky, která je používána. Produkt je již připravený automobilový trh, resp. pro snadné použití. </w:t>
      </w:r>
    </w:p>
    <w:p w:rsidR="009E3537" w:rsidRDefault="009E3537" w:rsidP="009E3537">
      <w:pPr>
        <w:spacing w:after="0"/>
        <w:ind w:firstLine="0"/>
        <w:jc w:val="center"/>
        <w:rPr>
          <w:rFonts w:eastAsiaTheme="majorEastAsia"/>
        </w:rPr>
      </w:pPr>
      <w:r>
        <w:rPr>
          <w:rFonts w:eastAsiaTheme="majorEastAsia"/>
          <w:noProof/>
        </w:rPr>
        <w:drawing>
          <wp:inline distT="0" distB="0" distL="0" distR="0">
            <wp:extent cx="4657725" cy="1842656"/>
            <wp:effectExtent l="19050" t="0" r="9525" b="0"/>
            <wp:docPr id="36" name="Obrázek 35" descr="OB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U.jpg"/>
                    <pic:cNvPicPr/>
                  </pic:nvPicPr>
                  <pic:blipFill>
                    <a:blip r:embed="rId139" cstate="print"/>
                    <a:stretch>
                      <a:fillRect/>
                    </a:stretch>
                  </pic:blipFill>
                  <pic:spPr>
                    <a:xfrm>
                      <a:off x="0" y="0"/>
                      <a:ext cx="4673390" cy="1848853"/>
                    </a:xfrm>
                    <a:prstGeom prst="rect">
                      <a:avLst/>
                    </a:prstGeom>
                  </pic:spPr>
                </pic:pic>
              </a:graphicData>
            </a:graphic>
          </wp:inline>
        </w:drawing>
      </w:r>
    </w:p>
    <w:p w:rsidR="009A4808" w:rsidRDefault="009E3537" w:rsidP="009E3537">
      <w:pPr>
        <w:spacing w:before="120" w:after="0"/>
        <w:ind w:firstLine="0"/>
        <w:jc w:val="center"/>
        <w:rPr>
          <w:rFonts w:eastAsiaTheme="majorEastAsia"/>
        </w:rPr>
      </w:pPr>
      <w:r w:rsidRPr="009E3537">
        <w:rPr>
          <w:rFonts w:eastAsiaTheme="majorEastAsia"/>
          <w:i/>
        </w:rPr>
        <w:t>EU – Obr. 5. OBU jednotka</w:t>
      </w:r>
      <w:r w:rsidR="00B26E3D">
        <w:rPr>
          <w:rFonts w:eastAsiaTheme="majorEastAsia"/>
          <w:i/>
        </w:rPr>
        <w:t xml:space="preserve">, Zdroj </w:t>
      </w:r>
      <w:r w:rsidR="00B26E3D" w:rsidRPr="0014708C">
        <w:rPr>
          <w:rFonts w:eastAsiaTheme="majorEastAsia"/>
          <w:i/>
        </w:rPr>
        <w:t>[EU</w:t>
      </w:r>
      <w:r w:rsidR="00B26E3D">
        <w:rPr>
          <w:rFonts w:eastAsiaTheme="majorEastAsia"/>
          <w:i/>
        </w:rPr>
        <w:t>9</w:t>
      </w:r>
      <w:r w:rsidR="00B26E3D" w:rsidRPr="0014708C">
        <w:rPr>
          <w:rFonts w:eastAsiaTheme="majorEastAsia"/>
          <w:i/>
        </w:rPr>
        <w:t>]</w:t>
      </w:r>
    </w:p>
    <w:p w:rsidR="00AA569A" w:rsidRDefault="00AA569A" w:rsidP="009438FA">
      <w:pPr>
        <w:spacing w:after="0"/>
        <w:ind w:firstLine="284"/>
        <w:rPr>
          <w:rFonts w:eastAsiaTheme="majorEastAsia"/>
        </w:rPr>
      </w:pPr>
      <w:r>
        <w:rPr>
          <w:rFonts w:eastAsiaTheme="majorEastAsia"/>
        </w:rPr>
        <w:lastRenderedPageBreak/>
        <w:t xml:space="preserve">V přiloženém souboru </w:t>
      </w:r>
      <w:r w:rsidR="00934714" w:rsidRPr="00934714">
        <w:rPr>
          <w:rFonts w:eastAsiaTheme="majorEastAsia"/>
        </w:rPr>
        <w:t>EU_02_Workshop on GNSS.pdf</w:t>
      </w:r>
      <w:r w:rsidR="00934714">
        <w:rPr>
          <w:rFonts w:eastAsiaTheme="majorEastAsia"/>
        </w:rPr>
        <w:t xml:space="preserve"> </w:t>
      </w:r>
      <w:r>
        <w:rPr>
          <w:rFonts w:eastAsiaTheme="majorEastAsia"/>
        </w:rPr>
        <w:t>jsou další podrobnější informace o dynamických testech OBU jednotek</w:t>
      </w:r>
      <w:r w:rsidR="00934714">
        <w:rPr>
          <w:rFonts w:eastAsiaTheme="majorEastAsia"/>
        </w:rPr>
        <w:t xml:space="preserve"> a jejich výsledků. Je</w:t>
      </w:r>
      <w:r>
        <w:rPr>
          <w:rFonts w:eastAsiaTheme="majorEastAsia"/>
        </w:rPr>
        <w:t xml:space="preserve"> tam uvedeno i několik fotografií z</w:t>
      </w:r>
      <w:r w:rsidR="00934714">
        <w:rPr>
          <w:rFonts w:eastAsiaTheme="majorEastAsia"/>
        </w:rPr>
        <w:t> </w:t>
      </w:r>
      <w:r>
        <w:rPr>
          <w:rFonts w:eastAsiaTheme="majorEastAsia"/>
        </w:rPr>
        <w:t>testování</w:t>
      </w:r>
      <w:r w:rsidR="00934714">
        <w:rPr>
          <w:rFonts w:eastAsiaTheme="majorEastAsia"/>
        </w:rPr>
        <w:t xml:space="preserve"> a nasazení v provozu.</w:t>
      </w:r>
      <w:r w:rsidR="00EF51E5">
        <w:rPr>
          <w:rFonts w:eastAsiaTheme="majorEastAsia"/>
        </w:rPr>
        <w:t xml:space="preserve"> </w:t>
      </w:r>
      <w:r w:rsidR="00983783">
        <w:rPr>
          <w:rFonts w:eastAsiaTheme="majorEastAsia"/>
        </w:rPr>
        <w:t>Kromě toho je tam vyobrazeno i porovnání jednotlivých systémů, které mohou být pro určování polohy použity, tedy rozdíly mezi systémy GPS a EGNOS</w:t>
      </w:r>
      <w:r w:rsidR="000508D7">
        <w:rPr>
          <w:rFonts w:eastAsiaTheme="majorEastAsia"/>
        </w:rPr>
        <w:t xml:space="preserve"> s jeho vlastníma aplikacemi</w:t>
      </w:r>
      <w:r w:rsidR="00983783">
        <w:rPr>
          <w:rFonts w:eastAsiaTheme="majorEastAsia"/>
        </w:rPr>
        <w:t>.</w:t>
      </w:r>
      <w:r w:rsidR="000508D7">
        <w:rPr>
          <w:rFonts w:eastAsiaTheme="majorEastAsia"/>
        </w:rPr>
        <w:t xml:space="preserve"> Pro názornost jsou z každého druhu uvedeny fotografie </w:t>
      </w:r>
    </w:p>
    <w:p w:rsidR="00AA569A" w:rsidRDefault="000508D7" w:rsidP="009438FA">
      <w:pPr>
        <w:spacing w:after="0"/>
        <w:ind w:firstLine="284"/>
        <w:rPr>
          <w:rFonts w:eastAsiaTheme="majorEastAsia"/>
        </w:rPr>
      </w:pPr>
      <w:r>
        <w:rPr>
          <w:rFonts w:eastAsiaTheme="majorEastAsia"/>
          <w:noProof/>
        </w:rPr>
        <w:drawing>
          <wp:inline distT="0" distB="0" distL="0" distR="0">
            <wp:extent cx="5760720" cy="2981325"/>
            <wp:effectExtent l="19050" t="0" r="0" b="0"/>
            <wp:docPr id="43" name="Obrázek 42" descr="porovn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ovnani.jpg"/>
                    <pic:cNvPicPr/>
                  </pic:nvPicPr>
                  <pic:blipFill>
                    <a:blip r:embed="rId140" cstate="print"/>
                    <a:stretch>
                      <a:fillRect/>
                    </a:stretch>
                  </pic:blipFill>
                  <pic:spPr>
                    <a:xfrm>
                      <a:off x="0" y="0"/>
                      <a:ext cx="5760720" cy="2981325"/>
                    </a:xfrm>
                    <a:prstGeom prst="rect">
                      <a:avLst/>
                    </a:prstGeom>
                  </pic:spPr>
                </pic:pic>
              </a:graphicData>
            </a:graphic>
          </wp:inline>
        </w:drawing>
      </w:r>
    </w:p>
    <w:p w:rsidR="00AA569A" w:rsidRPr="000508D7" w:rsidRDefault="000508D7" w:rsidP="000508D7">
      <w:pPr>
        <w:spacing w:before="120" w:after="240"/>
        <w:ind w:firstLine="0"/>
        <w:jc w:val="center"/>
        <w:rPr>
          <w:rFonts w:eastAsiaTheme="majorEastAsia"/>
          <w:i/>
        </w:rPr>
      </w:pPr>
      <w:r w:rsidRPr="000508D7">
        <w:rPr>
          <w:rFonts w:eastAsiaTheme="majorEastAsia"/>
          <w:i/>
        </w:rPr>
        <w:t>EU – Obr. 6. – Porovnání použitých systémů</w:t>
      </w:r>
      <w:r w:rsidR="00B26E3D">
        <w:rPr>
          <w:rFonts w:eastAsiaTheme="majorEastAsia"/>
          <w:i/>
        </w:rPr>
        <w:t xml:space="preserve">, Zdroj </w:t>
      </w:r>
      <w:r w:rsidR="00B26E3D" w:rsidRPr="0014708C">
        <w:rPr>
          <w:rFonts w:eastAsiaTheme="majorEastAsia"/>
          <w:i/>
        </w:rPr>
        <w:t>[EU</w:t>
      </w:r>
      <w:r w:rsidR="00B26E3D">
        <w:rPr>
          <w:rFonts w:eastAsiaTheme="majorEastAsia"/>
          <w:i/>
        </w:rPr>
        <w:t>9</w:t>
      </w:r>
      <w:r w:rsidR="00B26E3D" w:rsidRPr="0014708C">
        <w:rPr>
          <w:rFonts w:eastAsiaTheme="majorEastAsia"/>
          <w:i/>
        </w:rPr>
        <w:t>]</w:t>
      </w:r>
    </w:p>
    <w:p w:rsidR="00AA569A" w:rsidRDefault="000508D7" w:rsidP="000508D7">
      <w:pPr>
        <w:spacing w:after="0"/>
        <w:ind w:firstLine="0"/>
        <w:jc w:val="center"/>
        <w:rPr>
          <w:rFonts w:eastAsiaTheme="majorEastAsia"/>
        </w:rPr>
      </w:pPr>
      <w:r>
        <w:rPr>
          <w:rFonts w:eastAsiaTheme="majorEastAsia"/>
          <w:noProof/>
        </w:rPr>
        <w:drawing>
          <wp:inline distT="0" distB="0" distL="0" distR="0">
            <wp:extent cx="3695700" cy="2495550"/>
            <wp:effectExtent l="19050" t="0" r="0" b="0"/>
            <wp:docPr id="46" name="Obrázek 45" descr="ant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tena.jpg"/>
                    <pic:cNvPicPr/>
                  </pic:nvPicPr>
                  <pic:blipFill>
                    <a:blip r:embed="rId141" cstate="print"/>
                    <a:stretch>
                      <a:fillRect/>
                    </a:stretch>
                  </pic:blipFill>
                  <pic:spPr>
                    <a:xfrm>
                      <a:off x="0" y="0"/>
                      <a:ext cx="3695700" cy="2495550"/>
                    </a:xfrm>
                    <a:prstGeom prst="rect">
                      <a:avLst/>
                    </a:prstGeom>
                  </pic:spPr>
                </pic:pic>
              </a:graphicData>
            </a:graphic>
          </wp:inline>
        </w:drawing>
      </w:r>
    </w:p>
    <w:p w:rsidR="000508D7" w:rsidRPr="000508D7" w:rsidRDefault="000508D7" w:rsidP="000508D7">
      <w:pPr>
        <w:ind w:firstLine="0"/>
        <w:jc w:val="center"/>
        <w:rPr>
          <w:rFonts w:eastAsiaTheme="majorEastAsia"/>
          <w:i/>
        </w:rPr>
      </w:pPr>
      <w:r w:rsidRPr="000508D7">
        <w:rPr>
          <w:rFonts w:eastAsiaTheme="majorEastAsia"/>
          <w:i/>
        </w:rPr>
        <w:t>EU – Obr. 7. – Standardní anténa</w:t>
      </w:r>
      <w:r w:rsidR="00B26E3D">
        <w:rPr>
          <w:rFonts w:eastAsiaTheme="majorEastAsia"/>
          <w:i/>
        </w:rPr>
        <w:t xml:space="preserve">, Zdroj </w:t>
      </w:r>
      <w:r w:rsidR="00B26E3D" w:rsidRPr="0014708C">
        <w:rPr>
          <w:rFonts w:eastAsiaTheme="majorEastAsia"/>
          <w:i/>
        </w:rPr>
        <w:t>[EU</w:t>
      </w:r>
      <w:r w:rsidR="00B26E3D">
        <w:rPr>
          <w:rFonts w:eastAsiaTheme="majorEastAsia"/>
          <w:i/>
        </w:rPr>
        <w:t>9</w:t>
      </w:r>
      <w:r w:rsidR="00B26E3D" w:rsidRPr="0014708C">
        <w:rPr>
          <w:rFonts w:eastAsiaTheme="majorEastAsia"/>
          <w:i/>
        </w:rPr>
        <w:t>]</w:t>
      </w:r>
    </w:p>
    <w:p w:rsidR="000508D7" w:rsidRDefault="004B60C8" w:rsidP="009438FA">
      <w:pPr>
        <w:spacing w:after="0"/>
        <w:ind w:firstLine="284"/>
        <w:rPr>
          <w:rFonts w:eastAsiaTheme="majorEastAsia"/>
        </w:rPr>
      </w:pPr>
      <w:r>
        <w:rPr>
          <w:rFonts w:eastAsiaTheme="majorEastAsia"/>
        </w:rPr>
        <w:t xml:space="preserve">Na dalších obrázcích (EU – Obr. 8., EU – Obr. 9.) jsou zobrazeny příklady z praxe při využití systému SCUTUM  pro sledování pohybu vozidel s nebezpečnými věcmi, v tomto konkrétním případě se jedná o ropu (ropná společnost ENI). </w:t>
      </w:r>
    </w:p>
    <w:p w:rsidR="000508D7" w:rsidRDefault="004B60C8" w:rsidP="004B60C8">
      <w:pPr>
        <w:spacing w:after="0"/>
        <w:ind w:firstLine="0"/>
        <w:jc w:val="center"/>
        <w:rPr>
          <w:rFonts w:eastAsiaTheme="majorEastAsia"/>
        </w:rPr>
      </w:pPr>
      <w:r>
        <w:rPr>
          <w:rFonts w:eastAsiaTheme="majorEastAsia"/>
          <w:noProof/>
        </w:rPr>
        <w:lastRenderedPageBreak/>
        <w:drawing>
          <wp:inline distT="0" distB="0" distL="0" distR="0">
            <wp:extent cx="5562600" cy="2439853"/>
            <wp:effectExtent l="19050" t="0" r="0" b="0"/>
            <wp:docPr id="47" name="Obrázek 46" descr="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jpg"/>
                    <pic:cNvPicPr/>
                  </pic:nvPicPr>
                  <pic:blipFill>
                    <a:blip r:embed="rId142" cstate="print"/>
                    <a:stretch>
                      <a:fillRect/>
                    </a:stretch>
                  </pic:blipFill>
                  <pic:spPr>
                    <a:xfrm>
                      <a:off x="0" y="0"/>
                      <a:ext cx="5562600" cy="2439853"/>
                    </a:xfrm>
                    <a:prstGeom prst="rect">
                      <a:avLst/>
                    </a:prstGeom>
                  </pic:spPr>
                </pic:pic>
              </a:graphicData>
            </a:graphic>
          </wp:inline>
        </w:drawing>
      </w:r>
    </w:p>
    <w:p w:rsidR="000508D7" w:rsidRPr="004B60C8" w:rsidRDefault="004B60C8" w:rsidP="004B60C8">
      <w:pPr>
        <w:spacing w:before="120" w:after="240"/>
        <w:ind w:firstLine="284"/>
        <w:jc w:val="center"/>
        <w:rPr>
          <w:rFonts w:eastAsiaTheme="majorEastAsia"/>
          <w:i/>
        </w:rPr>
      </w:pPr>
      <w:r w:rsidRPr="004B60C8">
        <w:rPr>
          <w:rFonts w:eastAsiaTheme="majorEastAsia"/>
          <w:i/>
        </w:rPr>
        <w:t>EU – Obr. 8. – sledování kamionu ENI</w:t>
      </w:r>
      <w:r w:rsidR="00B26E3D">
        <w:rPr>
          <w:rFonts w:eastAsiaTheme="majorEastAsia"/>
          <w:i/>
        </w:rPr>
        <w:t xml:space="preserve">, Zdroj </w:t>
      </w:r>
      <w:r w:rsidR="00B26E3D" w:rsidRPr="0014708C">
        <w:rPr>
          <w:rFonts w:eastAsiaTheme="majorEastAsia"/>
          <w:i/>
        </w:rPr>
        <w:t>[EU</w:t>
      </w:r>
      <w:r w:rsidR="00B26E3D">
        <w:rPr>
          <w:rFonts w:eastAsiaTheme="majorEastAsia"/>
          <w:i/>
        </w:rPr>
        <w:t>9</w:t>
      </w:r>
      <w:r w:rsidR="00B26E3D" w:rsidRPr="0014708C">
        <w:rPr>
          <w:rFonts w:eastAsiaTheme="majorEastAsia"/>
          <w:i/>
        </w:rPr>
        <w:t>]</w:t>
      </w:r>
    </w:p>
    <w:p w:rsidR="004B60C8" w:rsidRDefault="004B60C8" w:rsidP="009438FA">
      <w:pPr>
        <w:spacing w:after="0"/>
        <w:ind w:firstLine="284"/>
        <w:rPr>
          <w:rFonts w:eastAsiaTheme="majorEastAsia"/>
        </w:rPr>
        <w:sectPr w:rsidR="004B60C8" w:rsidSect="00ED36B9">
          <w:type w:val="continuous"/>
          <w:pgSz w:w="11906" w:h="16838"/>
          <w:pgMar w:top="1417" w:right="1417" w:bottom="1417" w:left="1417" w:header="708" w:footer="708" w:gutter="0"/>
          <w:cols w:space="708"/>
          <w:docGrid w:linePitch="360"/>
        </w:sectPr>
      </w:pPr>
    </w:p>
    <w:p w:rsidR="00AA569A" w:rsidRPr="00E0745F" w:rsidRDefault="00E0745F" w:rsidP="00E0745F">
      <w:pPr>
        <w:spacing w:after="0"/>
        <w:ind w:firstLine="0"/>
        <w:jc w:val="center"/>
        <w:rPr>
          <w:rFonts w:eastAsiaTheme="majorEastAsia"/>
          <w:sz w:val="8"/>
        </w:rPr>
      </w:pPr>
      <w:r w:rsidRPr="00E0745F">
        <w:rPr>
          <w:rFonts w:eastAsiaTheme="majorEastAsia"/>
          <w:noProof/>
          <w:sz w:val="8"/>
        </w:rPr>
        <w:drawing>
          <wp:anchor distT="0" distB="0" distL="114300" distR="114300" simplePos="0" relativeHeight="251666432" behindDoc="1" locked="0" layoutInCell="1" allowOverlap="1">
            <wp:simplePos x="0" y="0"/>
            <wp:positionH relativeFrom="column">
              <wp:posOffset>2948305</wp:posOffset>
            </wp:positionH>
            <wp:positionV relativeFrom="paragraph">
              <wp:posOffset>0</wp:posOffset>
            </wp:positionV>
            <wp:extent cx="3171825" cy="2371725"/>
            <wp:effectExtent l="19050" t="0" r="9525" b="0"/>
            <wp:wrapTight wrapText="bothSides">
              <wp:wrapPolygon edited="0">
                <wp:start x="-130" y="0"/>
                <wp:lineTo x="-130" y="21513"/>
                <wp:lineTo x="21665" y="21513"/>
                <wp:lineTo x="21665" y="0"/>
                <wp:lineTo x="-130" y="0"/>
              </wp:wrapPolygon>
            </wp:wrapTight>
            <wp:docPr id="49" name="Obrázek 48" descr="prax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xe2.jpg"/>
                    <pic:cNvPicPr/>
                  </pic:nvPicPr>
                  <pic:blipFill>
                    <a:blip r:embed="rId143" cstate="print"/>
                    <a:stretch>
                      <a:fillRect/>
                    </a:stretch>
                  </pic:blipFill>
                  <pic:spPr>
                    <a:xfrm>
                      <a:off x="0" y="0"/>
                      <a:ext cx="3171825" cy="2371725"/>
                    </a:xfrm>
                    <a:prstGeom prst="rect">
                      <a:avLst/>
                    </a:prstGeom>
                  </pic:spPr>
                </pic:pic>
              </a:graphicData>
            </a:graphic>
          </wp:anchor>
        </w:drawing>
      </w:r>
      <w:r w:rsidR="004B60C8" w:rsidRPr="00E0745F">
        <w:rPr>
          <w:rFonts w:eastAsiaTheme="majorEastAsia"/>
          <w:noProof/>
          <w:sz w:val="8"/>
        </w:rPr>
        <w:drawing>
          <wp:anchor distT="0" distB="0" distL="114300" distR="114300" simplePos="0" relativeHeight="251667456" behindDoc="1" locked="0" layoutInCell="1" allowOverlap="1">
            <wp:simplePos x="0" y="0"/>
            <wp:positionH relativeFrom="column">
              <wp:posOffset>14605</wp:posOffset>
            </wp:positionH>
            <wp:positionV relativeFrom="paragraph">
              <wp:posOffset>0</wp:posOffset>
            </wp:positionV>
            <wp:extent cx="2933700" cy="2371725"/>
            <wp:effectExtent l="19050" t="0" r="0" b="0"/>
            <wp:wrapTight wrapText="bothSides">
              <wp:wrapPolygon edited="0">
                <wp:start x="-140" y="0"/>
                <wp:lineTo x="-140" y="21513"/>
                <wp:lineTo x="21600" y="21513"/>
                <wp:lineTo x="21600" y="0"/>
                <wp:lineTo x="-140" y="0"/>
              </wp:wrapPolygon>
            </wp:wrapTight>
            <wp:docPr id="48" name="Obrázek 47" descr="pra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xe.jpg"/>
                    <pic:cNvPicPr/>
                  </pic:nvPicPr>
                  <pic:blipFill>
                    <a:blip r:embed="rId144" cstate="print"/>
                    <a:stretch>
                      <a:fillRect/>
                    </a:stretch>
                  </pic:blipFill>
                  <pic:spPr>
                    <a:xfrm>
                      <a:off x="0" y="0"/>
                      <a:ext cx="2933700" cy="2371725"/>
                    </a:xfrm>
                    <a:prstGeom prst="rect">
                      <a:avLst/>
                    </a:prstGeom>
                  </pic:spPr>
                </pic:pic>
              </a:graphicData>
            </a:graphic>
          </wp:anchor>
        </w:drawing>
      </w:r>
    </w:p>
    <w:p w:rsidR="00E0745F" w:rsidRPr="00E0745F" w:rsidRDefault="00E0745F" w:rsidP="009438FA">
      <w:pPr>
        <w:spacing w:after="0"/>
        <w:ind w:firstLine="284"/>
        <w:rPr>
          <w:rFonts w:eastAsiaTheme="majorEastAsia"/>
          <w:sz w:val="12"/>
        </w:rPr>
      </w:pPr>
    </w:p>
    <w:p w:rsidR="00E0745F" w:rsidRPr="00E0745F" w:rsidRDefault="00E0745F" w:rsidP="009438FA">
      <w:pPr>
        <w:spacing w:after="0"/>
        <w:ind w:firstLine="284"/>
        <w:rPr>
          <w:rFonts w:eastAsiaTheme="majorEastAsia"/>
          <w:sz w:val="10"/>
        </w:rPr>
        <w:sectPr w:rsidR="00E0745F" w:rsidRPr="00E0745F" w:rsidSect="00E0745F">
          <w:type w:val="continuous"/>
          <w:pgSz w:w="11906" w:h="16838"/>
          <w:pgMar w:top="1417" w:right="1417" w:bottom="1417" w:left="1417" w:header="708" w:footer="708" w:gutter="0"/>
          <w:cols w:num="2" w:space="282"/>
          <w:docGrid w:linePitch="360"/>
        </w:sectPr>
      </w:pPr>
    </w:p>
    <w:p w:rsidR="00E0745F" w:rsidRPr="00E0745F" w:rsidRDefault="00E0745F" w:rsidP="00E0745F">
      <w:pPr>
        <w:spacing w:after="0"/>
        <w:ind w:firstLine="0"/>
        <w:jc w:val="center"/>
        <w:rPr>
          <w:rFonts w:eastAsiaTheme="majorEastAsia"/>
          <w:i/>
        </w:rPr>
      </w:pPr>
      <w:r w:rsidRPr="00E0745F">
        <w:rPr>
          <w:rFonts w:eastAsiaTheme="majorEastAsia"/>
          <w:i/>
        </w:rPr>
        <w:lastRenderedPageBreak/>
        <w:t>EU – Obr. 9. Nasazení v</w:t>
      </w:r>
      <w:r w:rsidR="00B26E3D">
        <w:rPr>
          <w:rFonts w:eastAsiaTheme="majorEastAsia"/>
          <w:i/>
        </w:rPr>
        <w:t> </w:t>
      </w:r>
      <w:r w:rsidRPr="00E0745F">
        <w:rPr>
          <w:rFonts w:eastAsiaTheme="majorEastAsia"/>
          <w:i/>
        </w:rPr>
        <w:t>praxi</w:t>
      </w:r>
      <w:r w:rsidR="00B26E3D">
        <w:rPr>
          <w:rFonts w:eastAsiaTheme="majorEastAsia"/>
          <w:i/>
        </w:rPr>
        <w:t xml:space="preserve">, Zdroj </w:t>
      </w:r>
      <w:r w:rsidR="00B26E3D" w:rsidRPr="0014708C">
        <w:rPr>
          <w:rFonts w:eastAsiaTheme="majorEastAsia"/>
          <w:i/>
        </w:rPr>
        <w:t>[EU</w:t>
      </w:r>
      <w:r w:rsidR="00B26E3D">
        <w:rPr>
          <w:rFonts w:eastAsiaTheme="majorEastAsia"/>
          <w:i/>
        </w:rPr>
        <w:t>9</w:t>
      </w:r>
      <w:r w:rsidR="00B26E3D" w:rsidRPr="0014708C">
        <w:rPr>
          <w:rFonts w:eastAsiaTheme="majorEastAsia"/>
          <w:i/>
        </w:rPr>
        <w:t>]</w:t>
      </w:r>
    </w:p>
    <w:p w:rsidR="009A4808" w:rsidRDefault="009A4808" w:rsidP="00E0745F">
      <w:pPr>
        <w:tabs>
          <w:tab w:val="left" w:pos="993"/>
        </w:tabs>
        <w:spacing w:before="120" w:after="0"/>
        <w:ind w:firstLine="284"/>
      </w:pPr>
      <w:r>
        <w:rPr>
          <w:rFonts w:eastAsiaTheme="majorEastAsia"/>
        </w:rPr>
        <w:t>Zdroj:</w:t>
      </w:r>
      <w:r w:rsidR="00E0745F">
        <w:rPr>
          <w:rFonts w:eastAsiaTheme="majorEastAsia"/>
        </w:rPr>
        <w:tab/>
      </w:r>
      <w:hyperlink r:id="rId145" w:history="1">
        <w:r>
          <w:rPr>
            <w:rStyle w:val="Hypertextovodkaz"/>
          </w:rPr>
          <w:t>http://www.gsa.europa.eu/go/news/scutum-think-tank-on-gnss-for-dangerous-goods</w:t>
        </w:r>
      </w:hyperlink>
    </w:p>
    <w:p w:rsidR="00E0745F" w:rsidRDefault="00E0745F" w:rsidP="00E0745F">
      <w:pPr>
        <w:tabs>
          <w:tab w:val="left" w:pos="993"/>
        </w:tabs>
        <w:spacing w:after="0"/>
        <w:ind w:firstLine="284"/>
      </w:pPr>
      <w:r>
        <w:tab/>
      </w:r>
      <w:hyperlink r:id="rId146" w:history="1">
        <w:r w:rsidRPr="00487B98">
          <w:rPr>
            <w:rStyle w:val="Hypertextovodkaz"/>
          </w:rPr>
          <w:t>http://www.scutumgnss.eu/</w:t>
        </w:r>
      </w:hyperlink>
    </w:p>
    <w:p w:rsidR="00E0745F" w:rsidRDefault="00E0745F" w:rsidP="00E0745F">
      <w:pPr>
        <w:tabs>
          <w:tab w:val="left" w:pos="993"/>
        </w:tabs>
        <w:spacing w:after="0"/>
        <w:ind w:firstLine="284"/>
      </w:pPr>
      <w:r>
        <w:tab/>
      </w:r>
      <w:hyperlink r:id="rId147" w:history="1">
        <w:r w:rsidRPr="00487B98">
          <w:rPr>
            <w:rStyle w:val="Hypertextovodkaz"/>
          </w:rPr>
          <w:t>http://galileo.cs.telespazio.it/scutum/public/Archive%20of%20events%20of%20interest/</w:t>
        </w:r>
      </w:hyperlink>
    </w:p>
    <w:p w:rsidR="009438FA" w:rsidRDefault="00E0745F" w:rsidP="00E0745F">
      <w:pPr>
        <w:tabs>
          <w:tab w:val="left" w:pos="1134"/>
        </w:tabs>
        <w:spacing w:after="0"/>
        <w:ind w:firstLine="284"/>
        <w:rPr>
          <w:rFonts w:eastAsiaTheme="majorEastAsia"/>
        </w:rPr>
      </w:pPr>
      <w:r>
        <w:rPr>
          <w:rFonts w:eastAsiaTheme="majorEastAsia"/>
        </w:rPr>
        <w:t>Soubor:</w:t>
      </w:r>
      <w:r>
        <w:rPr>
          <w:rFonts w:eastAsiaTheme="majorEastAsia"/>
        </w:rPr>
        <w:tab/>
      </w:r>
      <w:r w:rsidR="00274C4E" w:rsidRPr="00274C4E">
        <w:rPr>
          <w:rFonts w:eastAsiaTheme="majorEastAsia"/>
        </w:rPr>
        <w:t>EU_01_SCUTUM per DESTINATION Marzo 2012</w:t>
      </w:r>
      <w:r w:rsidR="00AA569A">
        <w:rPr>
          <w:rFonts w:eastAsiaTheme="majorEastAsia"/>
        </w:rPr>
        <w:t>.pdf</w:t>
      </w:r>
    </w:p>
    <w:p w:rsidR="00E0745F" w:rsidRDefault="00E0745F" w:rsidP="00E0745F">
      <w:pPr>
        <w:tabs>
          <w:tab w:val="left" w:pos="1134"/>
        </w:tabs>
        <w:spacing w:after="0"/>
        <w:ind w:firstLine="284"/>
        <w:rPr>
          <w:rFonts w:eastAsiaTheme="majorEastAsia"/>
        </w:rPr>
      </w:pPr>
      <w:r>
        <w:rPr>
          <w:rFonts w:eastAsiaTheme="majorEastAsia"/>
        </w:rPr>
        <w:tab/>
      </w:r>
      <w:r w:rsidRPr="00934714">
        <w:rPr>
          <w:rFonts w:eastAsiaTheme="majorEastAsia"/>
        </w:rPr>
        <w:t>EU_02_Workshop on GNSS.pdf</w:t>
      </w:r>
    </w:p>
    <w:p w:rsidR="00E0745F" w:rsidRDefault="00E0745F" w:rsidP="00E0745F">
      <w:pPr>
        <w:tabs>
          <w:tab w:val="left" w:pos="1134"/>
        </w:tabs>
        <w:spacing w:after="0"/>
        <w:ind w:firstLine="284"/>
        <w:rPr>
          <w:rFonts w:eastAsiaTheme="majorEastAsia"/>
        </w:rPr>
      </w:pPr>
      <w:r>
        <w:rPr>
          <w:rFonts w:eastAsiaTheme="majorEastAsia"/>
        </w:rPr>
        <w:tab/>
      </w:r>
      <w:r w:rsidRPr="00E0745F">
        <w:rPr>
          <w:rFonts w:eastAsiaTheme="majorEastAsia"/>
        </w:rPr>
        <w:t>EU_03_SCUTUM.pdf</w:t>
      </w:r>
    </w:p>
    <w:p w:rsidR="00175EE1" w:rsidRDefault="00175EE1" w:rsidP="00E0745F">
      <w:pPr>
        <w:tabs>
          <w:tab w:val="left" w:pos="1134"/>
        </w:tabs>
        <w:spacing w:after="0"/>
        <w:ind w:firstLine="284"/>
        <w:rPr>
          <w:rFonts w:eastAsiaTheme="majorEastAsia"/>
        </w:rPr>
      </w:pPr>
      <w:r>
        <w:rPr>
          <w:rFonts w:eastAsiaTheme="majorEastAsia"/>
        </w:rPr>
        <w:tab/>
      </w:r>
      <w:r w:rsidRPr="00175EE1">
        <w:rPr>
          <w:rFonts w:eastAsiaTheme="majorEastAsia"/>
        </w:rPr>
        <w:t>EU_04_SCUTUM 7th ETSI Security workshop Jan 2012</w:t>
      </w:r>
      <w:r>
        <w:rPr>
          <w:rFonts w:eastAsiaTheme="majorEastAsia"/>
        </w:rPr>
        <w:t>.</w:t>
      </w:r>
      <w:r w:rsidR="0014708C">
        <w:rPr>
          <w:rFonts w:eastAsiaTheme="majorEastAsia"/>
        </w:rPr>
        <w:t>pdf</w:t>
      </w:r>
    </w:p>
    <w:p w:rsidR="00242B69" w:rsidRDefault="00242B69" w:rsidP="00E0745F">
      <w:pPr>
        <w:tabs>
          <w:tab w:val="left" w:pos="1134"/>
        </w:tabs>
        <w:spacing w:after="0"/>
        <w:ind w:firstLine="284"/>
        <w:rPr>
          <w:rFonts w:eastAsiaTheme="majorEastAsia"/>
        </w:rPr>
      </w:pPr>
      <w:r>
        <w:rPr>
          <w:rFonts w:eastAsiaTheme="majorEastAsia"/>
        </w:rPr>
        <w:tab/>
      </w:r>
      <w:r w:rsidRPr="00242B69">
        <w:rPr>
          <w:rFonts w:eastAsiaTheme="majorEastAsia"/>
        </w:rPr>
        <w:t>EU_05_GGMonitoring_Telespazio.pdf</w:t>
      </w:r>
    </w:p>
    <w:p w:rsidR="00274C4E" w:rsidRDefault="00E0745F" w:rsidP="00E0745F">
      <w:pPr>
        <w:spacing w:before="120" w:after="0"/>
        <w:ind w:firstLine="284"/>
        <w:rPr>
          <w:rFonts w:eastAsiaTheme="majorEastAsia"/>
        </w:rPr>
      </w:pPr>
      <w:r>
        <w:rPr>
          <w:rFonts w:eastAsiaTheme="majorEastAsia"/>
        </w:rPr>
        <w:t xml:space="preserve">Na webových stránkách </w:t>
      </w:r>
      <w:hyperlink r:id="rId148" w:history="1">
        <w:r>
          <w:rPr>
            <w:rStyle w:val="Hypertextovodkaz"/>
          </w:rPr>
          <w:t>http://galileo.cs.telespazio.it</w:t>
        </w:r>
      </w:hyperlink>
      <w:r>
        <w:t xml:space="preserve"> je obsáhlý adresář různých prezentacích z několika posledních let. Zde byly jako zdroj použity materiály z března r. 2012. Ostatní zde nebyly uváděny ani odkazovány, jelikož existují data a podklady z tohoto roku. </w:t>
      </w:r>
      <w:r w:rsidR="00175EE1">
        <w:t xml:space="preserve">Bohužel řada informací a přednášek o tématu jsou v italštině a většina prezentací má stejný, či velice podobný obsah a více informací není zveřejněno. </w:t>
      </w:r>
    </w:p>
    <w:p w:rsidR="00274C4E" w:rsidRDefault="00274C4E" w:rsidP="009438FA">
      <w:pPr>
        <w:spacing w:after="0"/>
        <w:ind w:firstLine="284"/>
        <w:rPr>
          <w:rFonts w:eastAsiaTheme="majorEastAsia"/>
        </w:rPr>
      </w:pPr>
    </w:p>
    <w:p w:rsidR="00274C4E" w:rsidRDefault="00274C4E" w:rsidP="009438FA">
      <w:pPr>
        <w:spacing w:after="0"/>
        <w:ind w:firstLine="284"/>
        <w:rPr>
          <w:rFonts w:eastAsiaTheme="majorEastAsia"/>
        </w:rPr>
      </w:pPr>
    </w:p>
    <w:p w:rsidR="00274C4E" w:rsidRDefault="00274C4E" w:rsidP="009438FA">
      <w:pPr>
        <w:spacing w:after="0"/>
        <w:ind w:firstLine="284"/>
        <w:rPr>
          <w:rFonts w:eastAsiaTheme="majorEastAsia"/>
        </w:rPr>
      </w:pPr>
    </w:p>
    <w:p w:rsidR="009438FA" w:rsidRDefault="009438FA" w:rsidP="009438FA">
      <w:pPr>
        <w:spacing w:after="0"/>
        <w:ind w:firstLine="284"/>
        <w:rPr>
          <w:rFonts w:eastAsiaTheme="majorEastAsia"/>
        </w:rPr>
      </w:pPr>
    </w:p>
    <w:p w:rsidR="005B129F" w:rsidRDefault="005B129F" w:rsidP="005B129F">
      <w:pPr>
        <w:pStyle w:val="Nadpis3"/>
        <w:rPr>
          <w:rFonts w:ascii="Times New Roman" w:eastAsiaTheme="majorEastAsia" w:hAnsi="Times New Roman"/>
          <w:sz w:val="28"/>
        </w:rPr>
      </w:pPr>
      <w:bookmarkStart w:id="79" w:name="_Toc326741540"/>
      <w:r>
        <w:rPr>
          <w:rFonts w:ascii="Times New Roman" w:eastAsiaTheme="majorEastAsia" w:hAnsi="Times New Roman"/>
          <w:sz w:val="28"/>
        </w:rPr>
        <w:lastRenderedPageBreak/>
        <w:t>Alpy</w:t>
      </w:r>
      <w:bookmarkEnd w:id="79"/>
    </w:p>
    <w:p w:rsidR="00064513" w:rsidRDefault="005B129F" w:rsidP="005B129F">
      <w:pPr>
        <w:spacing w:before="120" w:after="0"/>
        <w:ind w:firstLine="284"/>
        <w:rPr>
          <w:rFonts w:eastAsiaTheme="majorEastAsia"/>
        </w:rPr>
      </w:pPr>
      <w:r>
        <w:rPr>
          <w:rFonts w:eastAsiaTheme="majorEastAsia"/>
        </w:rPr>
        <w:t>Transport nebezpečných věcí p</w:t>
      </w:r>
      <w:r w:rsidR="00EF51E5">
        <w:rPr>
          <w:rFonts w:eastAsiaTheme="majorEastAsia"/>
        </w:rPr>
        <w:t>řes území Alp je velice rizikový</w:t>
      </w:r>
      <w:r>
        <w:rPr>
          <w:rFonts w:eastAsiaTheme="majorEastAsia"/>
        </w:rPr>
        <w:t xml:space="preserve"> a vzhledem k životnímu prostředí i nebezpečn</w:t>
      </w:r>
      <w:r w:rsidR="00EF51E5">
        <w:rPr>
          <w:rFonts w:eastAsiaTheme="majorEastAsia"/>
        </w:rPr>
        <w:t>ý</w:t>
      </w:r>
      <w:r>
        <w:rPr>
          <w:rFonts w:eastAsiaTheme="majorEastAsia"/>
        </w:rPr>
        <w:t xml:space="preserve">. I samotné návrhy komplexnějších telematických projektů se potýkají s řadou překážek, jako je vysoký počet tunelů a mostů či obtížné pokrytí signálem GPS vzhledem k rozmanitosti přírody. </w:t>
      </w:r>
      <w:r w:rsidR="00064513">
        <w:rPr>
          <w:rFonts w:eastAsiaTheme="majorEastAsia"/>
        </w:rPr>
        <w:t xml:space="preserve">V oblasti je možné přepravovat nebezpečné věci buďto po silnici či železnici. </w:t>
      </w:r>
    </w:p>
    <w:p w:rsidR="00242B69" w:rsidRDefault="00064513" w:rsidP="005B129F">
      <w:pPr>
        <w:spacing w:before="120" w:after="0"/>
        <w:ind w:firstLine="284"/>
        <w:rPr>
          <w:rFonts w:eastAsiaTheme="majorEastAsia"/>
        </w:rPr>
      </w:pPr>
      <w:r>
        <w:rPr>
          <w:rFonts w:eastAsiaTheme="majorEastAsia"/>
        </w:rPr>
        <w:t xml:space="preserve">Pro nasazení systému v Alpské oblasti je možný výběr z některých již rozvíjejících se evropských projektů, jako je právě uvedená MITRA či SCUTUM, nebo další zde nezmíněné projekty, mezi kterými můžeme jmenovat GoodRoute, FIMSAA či SECCOH. Do výběru také spadá projekt Dagobert, který je uveden v kapitole Republika Rakousko. </w:t>
      </w:r>
    </w:p>
    <w:p w:rsidR="00064513" w:rsidRDefault="00064513" w:rsidP="005B129F">
      <w:pPr>
        <w:spacing w:before="120" w:after="0"/>
        <w:ind w:firstLine="284"/>
        <w:rPr>
          <w:rFonts w:eastAsiaTheme="majorEastAsia"/>
        </w:rPr>
      </w:pPr>
      <w:r>
        <w:rPr>
          <w:rFonts w:eastAsiaTheme="majorEastAsia"/>
        </w:rPr>
        <w:t xml:space="preserve">Na následujícím obrázku </w:t>
      </w:r>
      <w:r w:rsidRPr="00064513">
        <w:rPr>
          <w:rFonts w:eastAsiaTheme="majorEastAsia"/>
          <w:i/>
        </w:rPr>
        <w:t>EU – Obr. 10. Příklad architektury</w:t>
      </w:r>
      <w:r>
        <w:rPr>
          <w:rFonts w:eastAsiaTheme="majorEastAsia"/>
        </w:rPr>
        <w:t xml:space="preserve">, je uvedena možná architektura systému, který by byl vhodný pro použití v Alpách. </w:t>
      </w:r>
    </w:p>
    <w:p w:rsidR="00064513" w:rsidRDefault="00064513" w:rsidP="00064513">
      <w:pPr>
        <w:spacing w:before="120" w:after="0"/>
        <w:ind w:firstLine="0"/>
        <w:jc w:val="center"/>
        <w:rPr>
          <w:rFonts w:eastAsiaTheme="majorEastAsia"/>
        </w:rPr>
      </w:pPr>
      <w:r>
        <w:rPr>
          <w:rFonts w:eastAsiaTheme="majorEastAsia"/>
          <w:noProof/>
        </w:rPr>
        <w:drawing>
          <wp:inline distT="0" distB="0" distL="0" distR="0">
            <wp:extent cx="5760720" cy="4450080"/>
            <wp:effectExtent l="19050" t="0" r="0" b="0"/>
            <wp:docPr id="56" name="Obrázek 55" descr="architek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ktura.jpg"/>
                    <pic:cNvPicPr/>
                  </pic:nvPicPr>
                  <pic:blipFill>
                    <a:blip r:embed="rId149" cstate="print"/>
                    <a:stretch>
                      <a:fillRect/>
                    </a:stretch>
                  </pic:blipFill>
                  <pic:spPr>
                    <a:xfrm>
                      <a:off x="0" y="0"/>
                      <a:ext cx="5760720" cy="4450080"/>
                    </a:xfrm>
                    <a:prstGeom prst="rect">
                      <a:avLst/>
                    </a:prstGeom>
                  </pic:spPr>
                </pic:pic>
              </a:graphicData>
            </a:graphic>
          </wp:inline>
        </w:drawing>
      </w:r>
    </w:p>
    <w:p w:rsidR="005B129F" w:rsidRDefault="00064513" w:rsidP="00064513">
      <w:pPr>
        <w:spacing w:before="120"/>
        <w:ind w:firstLine="0"/>
        <w:jc w:val="center"/>
        <w:rPr>
          <w:rFonts w:eastAsiaTheme="majorEastAsia"/>
        </w:rPr>
      </w:pPr>
      <w:r w:rsidRPr="00064513">
        <w:rPr>
          <w:rFonts w:eastAsiaTheme="majorEastAsia"/>
          <w:i/>
        </w:rPr>
        <w:t>EU – Obr. 10. Příklad architektury</w:t>
      </w:r>
      <w:r w:rsidR="00B26E3D">
        <w:rPr>
          <w:rFonts w:eastAsiaTheme="majorEastAsia"/>
          <w:i/>
        </w:rPr>
        <w:t xml:space="preserve">, Zdroj </w:t>
      </w:r>
      <w:r w:rsidR="00B26E3D" w:rsidRPr="0014708C">
        <w:rPr>
          <w:rFonts w:eastAsiaTheme="majorEastAsia"/>
          <w:i/>
        </w:rPr>
        <w:t>[EU</w:t>
      </w:r>
      <w:r w:rsidR="00B26E3D">
        <w:rPr>
          <w:rFonts w:eastAsiaTheme="majorEastAsia"/>
          <w:i/>
        </w:rPr>
        <w:t>13</w:t>
      </w:r>
      <w:r w:rsidR="00B26E3D" w:rsidRPr="0014708C">
        <w:rPr>
          <w:rFonts w:eastAsiaTheme="majorEastAsia"/>
          <w:i/>
        </w:rPr>
        <w:t>]</w:t>
      </w:r>
    </w:p>
    <w:p w:rsidR="005B129F" w:rsidRDefault="00064513" w:rsidP="009438FA">
      <w:pPr>
        <w:spacing w:after="0"/>
        <w:ind w:firstLine="284"/>
        <w:rPr>
          <w:rFonts w:eastAsiaTheme="majorEastAsia"/>
        </w:rPr>
      </w:pPr>
      <w:r>
        <w:rPr>
          <w:rFonts w:eastAsiaTheme="majorEastAsia"/>
        </w:rPr>
        <w:t>V rámci evropského projektu EasyWay</w:t>
      </w:r>
      <w:r w:rsidR="008702EB">
        <w:rPr>
          <w:rFonts w:eastAsiaTheme="majorEastAsia"/>
        </w:rPr>
        <w:t xml:space="preserve"> vznikl systém STRADA (Safer TRansport od DAngerous cargo). </w:t>
      </w:r>
      <w:r w:rsidR="000D06C8">
        <w:rPr>
          <w:rFonts w:eastAsiaTheme="majorEastAsia"/>
        </w:rPr>
        <w:t xml:space="preserve">Projekt vznikl za podpory Evropské unie a partnerů Tauernachsee. Na obrázku </w:t>
      </w:r>
      <w:r w:rsidR="000D06C8" w:rsidRPr="000D06C8">
        <w:rPr>
          <w:rFonts w:eastAsiaTheme="majorEastAsia"/>
          <w:i/>
        </w:rPr>
        <w:t>EU – Obr. 11. – Tauernachsee</w:t>
      </w:r>
      <w:r w:rsidR="000D06C8">
        <w:rPr>
          <w:rFonts w:eastAsiaTheme="majorEastAsia"/>
        </w:rPr>
        <w:t xml:space="preserve"> jsou vidět spolupracující subjekty na tomto projektu. </w:t>
      </w:r>
    </w:p>
    <w:p w:rsidR="00E22531" w:rsidRDefault="00E22531" w:rsidP="00E22531">
      <w:pPr>
        <w:tabs>
          <w:tab w:val="left" w:pos="1134"/>
        </w:tabs>
        <w:spacing w:before="120" w:after="0"/>
        <w:ind w:firstLine="284"/>
        <w:rPr>
          <w:rFonts w:eastAsiaTheme="majorEastAsia"/>
        </w:rPr>
      </w:pPr>
      <w:r>
        <w:rPr>
          <w:rFonts w:eastAsiaTheme="majorEastAsia"/>
        </w:rPr>
        <w:t>Soubor:</w:t>
      </w:r>
      <w:r>
        <w:rPr>
          <w:rFonts w:eastAsiaTheme="majorEastAsia"/>
        </w:rPr>
        <w:tab/>
      </w:r>
      <w:r w:rsidRPr="00747AB1">
        <w:rPr>
          <w:rFonts w:eastAsiaTheme="majorEastAsia"/>
        </w:rPr>
        <w:t>EU_01_alpy_Europaforum</w:t>
      </w:r>
      <w:r>
        <w:rPr>
          <w:rFonts w:eastAsiaTheme="majorEastAsia"/>
        </w:rPr>
        <w:t>.pdf</w:t>
      </w:r>
    </w:p>
    <w:p w:rsidR="00E22531" w:rsidRDefault="00E22531" w:rsidP="009438FA">
      <w:pPr>
        <w:spacing w:after="0"/>
        <w:ind w:firstLine="284"/>
        <w:rPr>
          <w:rFonts w:eastAsiaTheme="majorEastAsia"/>
        </w:rPr>
      </w:pPr>
    </w:p>
    <w:p w:rsidR="000D06C8" w:rsidRDefault="000D06C8">
      <w:pPr>
        <w:spacing w:after="0"/>
        <w:ind w:firstLine="0"/>
        <w:jc w:val="left"/>
        <w:rPr>
          <w:rFonts w:eastAsiaTheme="majorEastAsia"/>
        </w:rPr>
      </w:pPr>
      <w:r>
        <w:rPr>
          <w:rFonts w:eastAsiaTheme="majorEastAsia"/>
        </w:rPr>
        <w:br w:type="page"/>
      </w:r>
    </w:p>
    <w:p w:rsidR="000D06C8" w:rsidRDefault="000D06C8" w:rsidP="000D06C8">
      <w:pPr>
        <w:spacing w:after="0"/>
        <w:ind w:firstLine="0"/>
        <w:jc w:val="center"/>
        <w:rPr>
          <w:rFonts w:eastAsiaTheme="majorEastAsia"/>
        </w:rPr>
      </w:pPr>
      <w:r>
        <w:rPr>
          <w:rFonts w:eastAsiaTheme="majorEastAsia"/>
          <w:noProof/>
        </w:rPr>
        <w:lastRenderedPageBreak/>
        <w:drawing>
          <wp:inline distT="0" distB="0" distL="0" distR="0">
            <wp:extent cx="3676650" cy="3705225"/>
            <wp:effectExtent l="19050" t="0" r="0" b="0"/>
            <wp:docPr id="57" name="Obrázek 56" descr="tau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uern.jpg"/>
                    <pic:cNvPicPr/>
                  </pic:nvPicPr>
                  <pic:blipFill>
                    <a:blip r:embed="rId150" cstate="print"/>
                    <a:stretch>
                      <a:fillRect/>
                    </a:stretch>
                  </pic:blipFill>
                  <pic:spPr>
                    <a:xfrm>
                      <a:off x="0" y="0"/>
                      <a:ext cx="3676650" cy="3705225"/>
                    </a:xfrm>
                    <a:prstGeom prst="rect">
                      <a:avLst/>
                    </a:prstGeom>
                  </pic:spPr>
                </pic:pic>
              </a:graphicData>
            </a:graphic>
          </wp:inline>
        </w:drawing>
      </w:r>
    </w:p>
    <w:p w:rsidR="000D06C8" w:rsidRDefault="000D06C8" w:rsidP="000D06C8">
      <w:pPr>
        <w:spacing w:before="120"/>
        <w:ind w:firstLine="0"/>
        <w:jc w:val="center"/>
        <w:rPr>
          <w:rFonts w:eastAsiaTheme="majorEastAsia"/>
        </w:rPr>
      </w:pPr>
      <w:r w:rsidRPr="000D06C8">
        <w:rPr>
          <w:rFonts w:eastAsiaTheme="majorEastAsia"/>
          <w:i/>
        </w:rPr>
        <w:t>EU – Obr. 11. – Tauernachsee</w:t>
      </w:r>
      <w:r w:rsidR="00B26E3D">
        <w:rPr>
          <w:rFonts w:eastAsiaTheme="majorEastAsia"/>
          <w:i/>
        </w:rPr>
        <w:t xml:space="preserve">, Zdroj </w:t>
      </w:r>
      <w:r w:rsidR="00B26E3D" w:rsidRPr="0014708C">
        <w:rPr>
          <w:rFonts w:eastAsiaTheme="majorEastAsia"/>
          <w:i/>
        </w:rPr>
        <w:t>[EU</w:t>
      </w:r>
      <w:r w:rsidR="00B26E3D">
        <w:rPr>
          <w:rFonts w:eastAsiaTheme="majorEastAsia"/>
          <w:i/>
        </w:rPr>
        <w:t>13</w:t>
      </w:r>
      <w:r w:rsidR="00B26E3D" w:rsidRPr="0014708C">
        <w:rPr>
          <w:rFonts w:eastAsiaTheme="majorEastAsia"/>
          <w:i/>
        </w:rPr>
        <w:t>]</w:t>
      </w:r>
    </w:p>
    <w:p w:rsidR="005B129F" w:rsidRDefault="00747AB1" w:rsidP="009438FA">
      <w:pPr>
        <w:spacing w:after="0"/>
        <w:ind w:firstLine="284"/>
        <w:rPr>
          <w:rFonts w:eastAsiaTheme="majorEastAsia"/>
        </w:rPr>
      </w:pPr>
      <w:r>
        <w:rPr>
          <w:rFonts w:eastAsiaTheme="majorEastAsia"/>
        </w:rPr>
        <w:t xml:space="preserve">Projekt STRADA je koncept pro bezpečnost v oblasti přepravy nebezpečných věcí. Cílem je vytvoření praktického a konkrétního řešení pro malé dopravce a střední podniky. Řešení se má vztahovat na přepravu po silnici a železnici, jak již bylo zmíněno. Vývoj systému probíhá za běžných denních podmínek provozu v dané oblasti na základě několika scénářů. </w:t>
      </w:r>
    </w:p>
    <w:p w:rsidR="00747AB1" w:rsidRPr="00A11AE7" w:rsidRDefault="00747AB1" w:rsidP="00747AB1">
      <w:pPr>
        <w:spacing w:before="120"/>
        <w:ind w:firstLine="284"/>
        <w:rPr>
          <w:rFonts w:eastAsiaTheme="majorEastAsia"/>
        </w:rPr>
      </w:pPr>
      <w:r w:rsidRPr="00A11AE7">
        <w:rPr>
          <w:rFonts w:eastAsiaTheme="majorEastAsia"/>
        </w:rPr>
        <w:t xml:space="preserve">Dalším možným řešením pro Alpy může být projekt FIMSAA - </w:t>
      </w:r>
      <w:r w:rsidRPr="00A11AE7">
        <w:rPr>
          <w:rFonts w:eastAsiaTheme="majorEastAsia"/>
          <w:bCs/>
        </w:rPr>
        <w:t>Freight Information and Management System for the Alpine Area.</w:t>
      </w:r>
      <w:r w:rsidR="00A11AE7" w:rsidRPr="00A11AE7">
        <w:rPr>
          <w:rFonts w:eastAsiaTheme="majorEastAsia"/>
          <w:bCs/>
        </w:rPr>
        <w:t xml:space="preserve"> Jedná se spíše </w:t>
      </w:r>
      <w:r w:rsidR="00A11AE7">
        <w:rPr>
          <w:rFonts w:eastAsiaTheme="majorEastAsia"/>
          <w:bCs/>
        </w:rPr>
        <w:t>o řešení v oblasti managmentu přepravy těžkých nákladů, nebezpečných věcí a jejich optimalizaci. Pro tyto účely došlo v rámci projektu FIMSAA k rozdělení nebezpečných věcí do 3 stupňů. V oblasti nebezpečných věcí se jedná o 3 stupně rizika</w:t>
      </w:r>
      <w:r w:rsidR="00A7592D">
        <w:rPr>
          <w:rFonts w:eastAsiaTheme="majorEastAsia"/>
          <w:bCs/>
        </w:rPr>
        <w:t xml:space="preserve">, které jsou patrné z nacházejícího obrázku </w:t>
      </w:r>
      <w:r w:rsidR="00A7592D" w:rsidRPr="00A7592D">
        <w:rPr>
          <w:rFonts w:eastAsiaTheme="majorEastAsia"/>
          <w:bCs/>
          <w:i/>
        </w:rPr>
        <w:t>EU – Obr. 12. – Stupně rizik</w:t>
      </w:r>
      <w:r w:rsidR="00A7592D">
        <w:rPr>
          <w:rFonts w:eastAsiaTheme="majorEastAsia"/>
          <w:bCs/>
        </w:rPr>
        <w:t xml:space="preserve">. </w:t>
      </w:r>
    </w:p>
    <w:p w:rsidR="00747AB1" w:rsidRDefault="00A7592D" w:rsidP="00A7592D">
      <w:pPr>
        <w:spacing w:before="120" w:after="0"/>
        <w:ind w:firstLine="0"/>
        <w:jc w:val="center"/>
        <w:rPr>
          <w:rFonts w:eastAsiaTheme="majorEastAsia"/>
        </w:rPr>
      </w:pPr>
      <w:r>
        <w:rPr>
          <w:rFonts w:eastAsiaTheme="majorEastAsia"/>
          <w:noProof/>
        </w:rPr>
        <w:drawing>
          <wp:inline distT="0" distB="0" distL="0" distR="0">
            <wp:extent cx="4286250" cy="1471083"/>
            <wp:effectExtent l="19050" t="0" r="0" b="0"/>
            <wp:docPr id="59" name="Obrázek 58" descr="risk_lev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_level.jpg"/>
                    <pic:cNvPicPr/>
                  </pic:nvPicPr>
                  <pic:blipFill>
                    <a:blip r:embed="rId151" cstate="print"/>
                    <a:stretch>
                      <a:fillRect/>
                    </a:stretch>
                  </pic:blipFill>
                  <pic:spPr>
                    <a:xfrm>
                      <a:off x="0" y="0"/>
                      <a:ext cx="4294202" cy="1473812"/>
                    </a:xfrm>
                    <a:prstGeom prst="rect">
                      <a:avLst/>
                    </a:prstGeom>
                  </pic:spPr>
                </pic:pic>
              </a:graphicData>
            </a:graphic>
          </wp:inline>
        </w:drawing>
      </w:r>
    </w:p>
    <w:p w:rsidR="00747AB1" w:rsidRDefault="00A7592D" w:rsidP="00A7592D">
      <w:pPr>
        <w:spacing w:before="120"/>
        <w:ind w:firstLine="0"/>
        <w:jc w:val="center"/>
        <w:rPr>
          <w:rFonts w:eastAsiaTheme="majorEastAsia"/>
          <w:bCs/>
          <w:i/>
        </w:rPr>
      </w:pPr>
      <w:r w:rsidRPr="00A7592D">
        <w:rPr>
          <w:rFonts w:eastAsiaTheme="majorEastAsia"/>
          <w:bCs/>
          <w:i/>
        </w:rPr>
        <w:t>EU – Obr. 12. – Stupně rizik</w:t>
      </w:r>
      <w:r w:rsidR="00B26E3D">
        <w:rPr>
          <w:rFonts w:eastAsiaTheme="majorEastAsia"/>
          <w:bCs/>
          <w:i/>
        </w:rPr>
        <w:t xml:space="preserve">, </w:t>
      </w:r>
      <w:r w:rsidR="00B26E3D">
        <w:rPr>
          <w:rFonts w:eastAsiaTheme="majorEastAsia"/>
          <w:i/>
        </w:rPr>
        <w:t xml:space="preserve">Zdroj </w:t>
      </w:r>
      <w:r w:rsidR="00B26E3D" w:rsidRPr="0014708C">
        <w:rPr>
          <w:rFonts w:eastAsiaTheme="majorEastAsia"/>
          <w:i/>
        </w:rPr>
        <w:t>[EU</w:t>
      </w:r>
      <w:r w:rsidR="00B26E3D">
        <w:rPr>
          <w:rFonts w:eastAsiaTheme="majorEastAsia"/>
          <w:i/>
        </w:rPr>
        <w:t>14</w:t>
      </w:r>
      <w:r w:rsidR="00B26E3D" w:rsidRPr="0014708C">
        <w:rPr>
          <w:rFonts w:eastAsiaTheme="majorEastAsia"/>
          <w:i/>
        </w:rPr>
        <w:t>]</w:t>
      </w:r>
    </w:p>
    <w:p w:rsidR="00A7592D" w:rsidRDefault="00A7592D" w:rsidP="00A7592D">
      <w:pPr>
        <w:spacing w:before="120"/>
        <w:ind w:firstLine="0"/>
        <w:jc w:val="left"/>
        <w:rPr>
          <w:rFonts w:eastAsiaTheme="majorEastAsia"/>
        </w:rPr>
      </w:pPr>
      <w:r>
        <w:rPr>
          <w:rFonts w:eastAsiaTheme="majorEastAsia"/>
        </w:rPr>
        <w:t xml:space="preserve">Další informace o možnosti řízení dopravy např. v tunelech </w:t>
      </w:r>
      <w:r w:rsidR="00864EC1">
        <w:rPr>
          <w:rFonts w:eastAsiaTheme="majorEastAsia"/>
        </w:rPr>
        <w:t xml:space="preserve">jsou uvedeny v souboru EU_02_FIMSAA. pdf. </w:t>
      </w:r>
    </w:p>
    <w:p w:rsidR="00E22531" w:rsidRDefault="00E22531" w:rsidP="00E22531">
      <w:pPr>
        <w:tabs>
          <w:tab w:val="left" w:pos="1134"/>
        </w:tabs>
        <w:spacing w:after="0"/>
        <w:ind w:firstLine="284"/>
        <w:rPr>
          <w:rFonts w:eastAsiaTheme="majorEastAsia"/>
        </w:rPr>
      </w:pPr>
      <w:r>
        <w:rPr>
          <w:rFonts w:eastAsiaTheme="majorEastAsia"/>
        </w:rPr>
        <w:t>Soubor: EU_02_FIMSAA. pdf</w:t>
      </w:r>
    </w:p>
    <w:p w:rsidR="00A7592D" w:rsidRDefault="00A7592D">
      <w:pPr>
        <w:spacing w:after="0"/>
        <w:ind w:firstLine="0"/>
        <w:jc w:val="left"/>
        <w:rPr>
          <w:rFonts w:eastAsiaTheme="majorEastAsia"/>
        </w:rPr>
      </w:pPr>
      <w:r>
        <w:rPr>
          <w:rFonts w:eastAsiaTheme="majorEastAsia"/>
        </w:rPr>
        <w:br w:type="page"/>
      </w:r>
    </w:p>
    <w:p w:rsidR="00747AB1" w:rsidRDefault="00E22531" w:rsidP="009438FA">
      <w:pPr>
        <w:spacing w:after="0"/>
        <w:ind w:firstLine="284"/>
        <w:rPr>
          <w:rFonts w:eastAsiaTheme="majorEastAsia"/>
        </w:rPr>
      </w:pPr>
      <w:r>
        <w:rPr>
          <w:rFonts w:eastAsiaTheme="majorEastAsia"/>
        </w:rPr>
        <w:lastRenderedPageBreak/>
        <w:t xml:space="preserve">Dále je uvedena možná architektura řídícího centra sledující přepravu nebezpečných věcí v Alpách. Její struktura je patrná z následujícího obrázku </w:t>
      </w:r>
      <w:r w:rsidRPr="00E22531">
        <w:rPr>
          <w:rFonts w:eastAsiaTheme="majorEastAsia"/>
          <w:i/>
        </w:rPr>
        <w:t>EU – Obr. 13. Struktura centra</w:t>
      </w:r>
      <w:r>
        <w:rPr>
          <w:rFonts w:eastAsiaTheme="majorEastAsia"/>
        </w:rPr>
        <w:t xml:space="preserve">. </w:t>
      </w:r>
    </w:p>
    <w:p w:rsidR="00747AB1" w:rsidRDefault="00E22531" w:rsidP="00E22531">
      <w:pPr>
        <w:spacing w:before="120" w:after="0"/>
        <w:ind w:firstLine="0"/>
        <w:jc w:val="center"/>
        <w:rPr>
          <w:rFonts w:eastAsiaTheme="majorEastAsia"/>
        </w:rPr>
      </w:pPr>
      <w:r>
        <w:rPr>
          <w:rFonts w:eastAsiaTheme="majorEastAsia"/>
          <w:noProof/>
        </w:rPr>
        <w:drawing>
          <wp:inline distT="0" distB="0" distL="0" distR="0">
            <wp:extent cx="5760720" cy="4512945"/>
            <wp:effectExtent l="19050" t="0" r="0" b="0"/>
            <wp:docPr id="60" name="Obrázek 59" descr="cen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um.jpg"/>
                    <pic:cNvPicPr/>
                  </pic:nvPicPr>
                  <pic:blipFill>
                    <a:blip r:embed="rId152" cstate="print"/>
                    <a:stretch>
                      <a:fillRect/>
                    </a:stretch>
                  </pic:blipFill>
                  <pic:spPr>
                    <a:xfrm>
                      <a:off x="0" y="0"/>
                      <a:ext cx="5760720" cy="4512945"/>
                    </a:xfrm>
                    <a:prstGeom prst="rect">
                      <a:avLst/>
                    </a:prstGeom>
                  </pic:spPr>
                </pic:pic>
              </a:graphicData>
            </a:graphic>
          </wp:inline>
        </w:drawing>
      </w:r>
    </w:p>
    <w:p w:rsidR="00E22531" w:rsidRDefault="00E22531" w:rsidP="00E22531">
      <w:pPr>
        <w:spacing w:before="120"/>
        <w:ind w:firstLine="0"/>
        <w:jc w:val="center"/>
        <w:rPr>
          <w:rFonts w:eastAsiaTheme="majorEastAsia"/>
          <w:i/>
        </w:rPr>
      </w:pPr>
      <w:r w:rsidRPr="00E22531">
        <w:rPr>
          <w:rFonts w:eastAsiaTheme="majorEastAsia"/>
          <w:i/>
        </w:rPr>
        <w:t>EU – Obr. 13. Struktura centra</w:t>
      </w:r>
      <w:r w:rsidR="00B26E3D">
        <w:rPr>
          <w:rFonts w:eastAsiaTheme="majorEastAsia"/>
          <w:i/>
        </w:rPr>
        <w:t xml:space="preserve">, Zdroj </w:t>
      </w:r>
      <w:r w:rsidR="00B26E3D" w:rsidRPr="0014708C">
        <w:rPr>
          <w:rFonts w:eastAsiaTheme="majorEastAsia"/>
          <w:i/>
        </w:rPr>
        <w:t>[EU</w:t>
      </w:r>
      <w:r w:rsidR="00B26E3D">
        <w:rPr>
          <w:rFonts w:eastAsiaTheme="majorEastAsia"/>
          <w:i/>
        </w:rPr>
        <w:t>15</w:t>
      </w:r>
      <w:r w:rsidR="00B26E3D" w:rsidRPr="0014708C">
        <w:rPr>
          <w:rFonts w:eastAsiaTheme="majorEastAsia"/>
          <w:i/>
        </w:rPr>
        <w:t>]</w:t>
      </w:r>
    </w:p>
    <w:p w:rsidR="004E080B" w:rsidRDefault="004E080B" w:rsidP="00A51584">
      <w:pPr>
        <w:spacing w:before="120"/>
        <w:ind w:firstLine="284"/>
        <w:rPr>
          <w:rFonts w:eastAsiaTheme="majorEastAsia"/>
        </w:rPr>
      </w:pPr>
      <w:r>
        <w:rPr>
          <w:rFonts w:eastAsiaTheme="majorEastAsia"/>
        </w:rPr>
        <w:t xml:space="preserve">Řídící centrum bude založené na vybraném telematickém projektu, ale v případě přepravy nebezpečných věcí v Alpách není samostatná telematika dostačující. Proto se v návrhu počítá i s řídícím centrem, které by dohlíženo na pohyb vozidel v této </w:t>
      </w:r>
      <w:r w:rsidR="00A51584">
        <w:rPr>
          <w:rFonts w:eastAsiaTheme="majorEastAsia"/>
        </w:rPr>
        <w:t xml:space="preserve">citlivé oblasti a vytvářelo trasování jednotlivých vozidel. </w:t>
      </w:r>
    </w:p>
    <w:p w:rsidR="00A51584" w:rsidRPr="004E080B" w:rsidRDefault="00A51584" w:rsidP="00A51584">
      <w:pPr>
        <w:spacing w:before="120"/>
        <w:ind w:firstLine="284"/>
        <w:rPr>
          <w:rFonts w:eastAsiaTheme="majorEastAsia"/>
        </w:rPr>
      </w:pPr>
      <w:r>
        <w:rPr>
          <w:rFonts w:eastAsiaTheme="majorEastAsia"/>
        </w:rPr>
        <w:t xml:space="preserve">Soubor: </w:t>
      </w:r>
      <w:r w:rsidRPr="00A51584">
        <w:rPr>
          <w:rFonts w:eastAsiaTheme="majorEastAsia"/>
        </w:rPr>
        <w:t>EU_03_Manag_center.pdf</w:t>
      </w:r>
    </w:p>
    <w:p w:rsidR="00EF77E9" w:rsidRDefault="00EF77E9" w:rsidP="00EF77E9">
      <w:pPr>
        <w:pStyle w:val="Nadpis3"/>
        <w:rPr>
          <w:rFonts w:ascii="Times New Roman" w:eastAsiaTheme="majorEastAsia" w:hAnsi="Times New Roman"/>
          <w:sz w:val="28"/>
        </w:rPr>
      </w:pPr>
      <w:bookmarkStart w:id="80" w:name="_Toc326741541"/>
      <w:r w:rsidRPr="00F879C3">
        <w:rPr>
          <w:rFonts w:ascii="Times New Roman" w:eastAsiaTheme="majorEastAsia" w:hAnsi="Times New Roman"/>
          <w:sz w:val="28"/>
        </w:rPr>
        <w:t>Shrnutí</w:t>
      </w:r>
      <w:bookmarkEnd w:id="80"/>
    </w:p>
    <w:p w:rsidR="00F879C3" w:rsidRPr="00F879C3" w:rsidRDefault="00F879C3" w:rsidP="00F879C3">
      <w:pPr>
        <w:ind w:firstLine="284"/>
        <w:rPr>
          <w:rFonts w:eastAsiaTheme="majorEastAsia"/>
        </w:rPr>
      </w:pPr>
      <w:r w:rsidRPr="00F879C3">
        <w:rPr>
          <w:rFonts w:eastAsiaTheme="majorEastAsia"/>
        </w:rPr>
        <w:t>Systém projektu MITRA je jedním z mnoha projektů, které byly realizovány v pilotním provozu, u nichž byla otestována technologie a vyzkoušeno reálné nasazení. Bohužel poslední informace pocházejí z roku 2006 a o jeho realizaci a nasazení do běžného provozu nejsou informace. Dá se tak předpokládat, že k jeho nasazení nedošlo a po ukončení financování z fondů EU práce na projektu skončily.</w:t>
      </w:r>
    </w:p>
    <w:p w:rsidR="00F879C3" w:rsidRPr="0011059E" w:rsidRDefault="00BC08BB" w:rsidP="00CF0EC1">
      <w:pPr>
        <w:tabs>
          <w:tab w:val="left" w:pos="1134"/>
        </w:tabs>
        <w:spacing w:after="0"/>
        <w:ind w:firstLine="284"/>
        <w:rPr>
          <w:rFonts w:eastAsiaTheme="majorEastAsia"/>
        </w:rPr>
      </w:pPr>
      <w:r>
        <w:rPr>
          <w:rFonts w:eastAsiaTheme="majorEastAsia"/>
        </w:rPr>
        <w:t xml:space="preserve">Další uvedené systémy jsou již novějšího data, ale o nich nejsou informace, mimo projektu SCUTUM, o nasazení do provozu. Jelikož se jedná o návrhy, nebo aktuálně běžící projekty, opět nejsou k dispozici podrobnější technické informace a specifikace. </w:t>
      </w:r>
    </w:p>
    <w:p w:rsidR="00057739" w:rsidRDefault="006952C5" w:rsidP="008317A1">
      <w:pPr>
        <w:pStyle w:val="Nadpis1"/>
        <w:rPr>
          <w:rFonts w:eastAsiaTheme="majorEastAsia" w:cstheme="majorBidi"/>
          <w:bCs w:val="0"/>
          <w:szCs w:val="26"/>
        </w:rPr>
      </w:pPr>
      <w:bookmarkStart w:id="81" w:name="_Toc326741542"/>
      <w:r>
        <w:rPr>
          <w:rFonts w:eastAsiaTheme="majorEastAsia" w:cstheme="majorBidi"/>
          <w:bCs w:val="0"/>
          <w:szCs w:val="26"/>
        </w:rPr>
        <w:lastRenderedPageBreak/>
        <w:t xml:space="preserve">Shrnutí </w:t>
      </w:r>
      <w:r w:rsidR="00A45565">
        <w:rPr>
          <w:rFonts w:eastAsiaTheme="majorEastAsia" w:cstheme="majorBidi"/>
          <w:bCs w:val="0"/>
          <w:szCs w:val="26"/>
        </w:rPr>
        <w:t>studie</w:t>
      </w:r>
      <w:bookmarkEnd w:id="81"/>
    </w:p>
    <w:p w:rsidR="009D59CD" w:rsidRDefault="009D59CD" w:rsidP="009D59CD">
      <w:pPr>
        <w:spacing w:before="120" w:after="0"/>
        <w:ind w:firstLine="284"/>
        <w:rPr>
          <w:rFonts w:eastAsiaTheme="majorEastAsia"/>
        </w:rPr>
      </w:pPr>
      <w:r>
        <w:rPr>
          <w:rFonts w:eastAsiaTheme="majorEastAsia"/>
        </w:rPr>
        <w:t>Studie byla</w:t>
      </w:r>
      <w:r w:rsidR="00A2714B">
        <w:rPr>
          <w:rFonts w:eastAsiaTheme="majorEastAsia"/>
        </w:rPr>
        <w:t xml:space="preserve"> zpracována v</w:t>
      </w:r>
      <w:r w:rsidR="002A5376">
        <w:rPr>
          <w:rFonts w:eastAsiaTheme="majorEastAsia"/>
        </w:rPr>
        <w:t> období</w:t>
      </w:r>
      <w:r w:rsidR="00A2714B">
        <w:rPr>
          <w:rFonts w:eastAsiaTheme="majorEastAsia"/>
        </w:rPr>
        <w:t xml:space="preserve"> březen a</w:t>
      </w:r>
      <w:r w:rsidR="002A5376">
        <w:rPr>
          <w:rFonts w:eastAsiaTheme="majorEastAsia"/>
        </w:rPr>
        <w:t>ž</w:t>
      </w:r>
      <w:r w:rsidR="00A2714B">
        <w:rPr>
          <w:rFonts w:eastAsiaTheme="majorEastAsia"/>
        </w:rPr>
        <w:t xml:space="preserve"> duben 2012 a je</w:t>
      </w:r>
      <w:r>
        <w:rPr>
          <w:rFonts w:eastAsiaTheme="majorEastAsia"/>
        </w:rPr>
        <w:t xml:space="preserve"> zaměřená na získání informací o existujících systémech pro monitorování a řízení přepravy nebezpečných věcí v zemích EU. Zaměřili jsme se především na sousední státy, tedy Spolkovou republiku Německo, Republiku Rakousko, Polskou republiku a Slovenskou republiku. </w:t>
      </w:r>
    </w:p>
    <w:p w:rsidR="00EC42D0" w:rsidRDefault="00EC42D0" w:rsidP="009D59CD">
      <w:pPr>
        <w:spacing w:before="120" w:after="0"/>
        <w:ind w:firstLine="284"/>
        <w:rPr>
          <w:rFonts w:eastAsiaTheme="majorEastAsia"/>
        </w:rPr>
      </w:pPr>
      <w:r>
        <w:rPr>
          <w:rFonts w:eastAsiaTheme="majorEastAsia"/>
        </w:rPr>
        <w:t xml:space="preserve">V  celé Evropě existuje několik projektů, na kterých se podílí různé subjekty napříč Evropou. Nejčastěji na projektech spolupracují soukromé společnosti, které vyvíjejí či testují telematické systém, firmy zabývající se řešením plánováním a řízením přepravy nebezpečných věcí a v neposlední řadě také ministerstva zemí, které se na projektu podílí. Nejčastěji se jedná o ministerstva dopravy, případně průmyslu. </w:t>
      </w:r>
    </w:p>
    <w:p w:rsidR="003967AF" w:rsidRDefault="009D59CD" w:rsidP="009D59CD">
      <w:pPr>
        <w:spacing w:before="120" w:after="0"/>
        <w:ind w:firstLine="284"/>
        <w:rPr>
          <w:rFonts w:eastAsiaTheme="majorEastAsia"/>
        </w:rPr>
      </w:pPr>
      <w:r>
        <w:rPr>
          <w:rFonts w:eastAsiaTheme="majorEastAsia"/>
        </w:rPr>
        <w:t xml:space="preserve">V rámci sousedních států byli shromažďovány veřejně dostupné informace z oblasti </w:t>
      </w:r>
      <w:r w:rsidR="00A2714B">
        <w:rPr>
          <w:rFonts w:eastAsiaTheme="majorEastAsia"/>
        </w:rPr>
        <w:t>legislativy na celostátní úrovni a aplikaci mezinárodních předpisů do národních zákonů a vyhlášek, existenci systémů či návrhů a konceptů možných systémů. Výsledky z jednotlivých států jsou následující.</w:t>
      </w:r>
    </w:p>
    <w:p w:rsidR="0035448F" w:rsidRDefault="00A2714B" w:rsidP="009D59CD">
      <w:pPr>
        <w:spacing w:before="120" w:after="0"/>
        <w:ind w:firstLine="284"/>
        <w:rPr>
          <w:rFonts w:eastAsiaTheme="majorEastAsia"/>
        </w:rPr>
      </w:pPr>
      <w:r>
        <w:rPr>
          <w:rFonts w:eastAsiaTheme="majorEastAsia"/>
        </w:rPr>
        <w:t xml:space="preserve">Nejlépe postavený stát je </w:t>
      </w:r>
      <w:r w:rsidRPr="0035448F">
        <w:rPr>
          <w:rFonts w:eastAsiaTheme="majorEastAsia"/>
          <w:b/>
        </w:rPr>
        <w:t>Spolková republika Německo</w:t>
      </w:r>
      <w:r>
        <w:rPr>
          <w:rFonts w:eastAsiaTheme="majorEastAsia"/>
        </w:rPr>
        <w:t xml:space="preserve">, i když ani ta nemá národní systém pro sledování pohybu a monitorování přepravy nebezpečných věcí. I přes to, se v tomto státě nachází nejvíce běžících systémů, které jsou </w:t>
      </w:r>
      <w:r w:rsidR="002A5376">
        <w:rPr>
          <w:rFonts w:eastAsiaTheme="majorEastAsia"/>
        </w:rPr>
        <w:t xml:space="preserve">zatím na </w:t>
      </w:r>
      <w:r>
        <w:rPr>
          <w:rFonts w:eastAsiaTheme="majorEastAsia"/>
        </w:rPr>
        <w:t xml:space="preserve">úrovni soukromých subjektů. </w:t>
      </w:r>
      <w:r w:rsidR="00D225F4">
        <w:rPr>
          <w:rFonts w:eastAsiaTheme="majorEastAsia"/>
        </w:rPr>
        <w:t xml:space="preserve">Legislativa v oblasti přepravy nebezpečných věcí je značně složitá a komplikovaná a existuje několik zákonů, které řeší tuto problematiku v úzkém spektru působnosti. </w:t>
      </w:r>
      <w:r w:rsidR="0035448F">
        <w:rPr>
          <w:rFonts w:eastAsiaTheme="majorEastAsia"/>
        </w:rPr>
        <w:t xml:space="preserve">I existující systémy se člení podle dopravního prostředku. </w:t>
      </w:r>
    </w:p>
    <w:p w:rsidR="00A2714B" w:rsidRDefault="0035448F" w:rsidP="009D59CD">
      <w:pPr>
        <w:spacing w:before="120" w:after="0"/>
        <w:ind w:firstLine="284"/>
        <w:rPr>
          <w:rFonts w:eastAsiaTheme="majorEastAsia"/>
        </w:rPr>
      </w:pPr>
      <w:r>
        <w:rPr>
          <w:rFonts w:eastAsiaTheme="majorEastAsia"/>
        </w:rPr>
        <w:t xml:space="preserve">Nejvíce ucelený systém funguje na železnici, kde pro řízení a sledování vozidel je umožněno využívat systém GSM-R. Kromě toho systému se na německé železnici testuje i systém ETCS. Opodál uvedeným systémům stojí možnost využití systému založený na sledování pohybu nejen samotného vlaku, ale také převáženého nákladu. Vozy jsou opatřeny několika senzory pro snímání některých fyzikálních veličin a přes komunikační rozhraní hlásí stav do předem určeného centra, kterým bývá lokomotiva. Tím jsou zajištěny informace o stavu nákladu, což je velice cenné, jelikož při přepravě věcí po železnici není přímý kontakt s převáženým zbožím. </w:t>
      </w:r>
    </w:p>
    <w:p w:rsidR="00F72681" w:rsidRDefault="00EC42D0" w:rsidP="00EC42D0">
      <w:pPr>
        <w:spacing w:before="120" w:after="0"/>
        <w:ind w:firstLine="284"/>
        <w:rPr>
          <w:rFonts w:eastAsiaTheme="majorEastAsia"/>
        </w:rPr>
      </w:pPr>
      <w:r>
        <w:rPr>
          <w:rFonts w:eastAsiaTheme="majorEastAsia"/>
        </w:rPr>
        <w:t xml:space="preserve">Ne tak </w:t>
      </w:r>
      <w:r w:rsidR="0035448F">
        <w:rPr>
          <w:rFonts w:eastAsiaTheme="majorEastAsia"/>
        </w:rPr>
        <w:t xml:space="preserve">zcela </w:t>
      </w:r>
      <w:r>
        <w:rPr>
          <w:rFonts w:eastAsiaTheme="majorEastAsia"/>
        </w:rPr>
        <w:t xml:space="preserve">jednoznačná </w:t>
      </w:r>
      <w:r w:rsidR="0035448F">
        <w:rPr>
          <w:rFonts w:eastAsiaTheme="majorEastAsia"/>
        </w:rPr>
        <w:t xml:space="preserve">a sjednocená </w:t>
      </w:r>
      <w:r>
        <w:rPr>
          <w:rFonts w:eastAsiaTheme="majorEastAsia"/>
        </w:rPr>
        <w:t>je situace v silniční dopravě. Zde se objevu</w:t>
      </w:r>
      <w:r w:rsidR="0035448F">
        <w:rPr>
          <w:rFonts w:eastAsiaTheme="majorEastAsia"/>
        </w:rPr>
        <w:t>je</w:t>
      </w:r>
      <w:r>
        <w:rPr>
          <w:rFonts w:eastAsiaTheme="majorEastAsia"/>
        </w:rPr>
        <w:t xml:space="preserve"> několik systémů vytvořených speciálně pro sledování pohy</w:t>
      </w:r>
      <w:r w:rsidR="00F72681">
        <w:rPr>
          <w:rFonts w:eastAsiaTheme="majorEastAsia"/>
        </w:rPr>
        <w:t>bu vozidel s nebezpečnými věcmi, vedle kterých existují systémy soukromých firem, které nejsou určeny jen pro nebezpečné věci, ale obecně pro sledování zásilek či přeprav věcí. Informace o existujících systémech sledování není jednoduché získat, protože se používají pro komerční účely a de facto se jedná o firemní tajemství. Existuje ale řada aplikací, jak internetových tak mobilních, kde je uživateli umožněno zjistit, kde se jeho zásilka nachází. Tímto stylem ale nelze přepravovat všechny druhy nebezpečných nákladů. Systémy vyvíjející se speciálně pro nebezpečné věci jsou spíše ve fázi náv</w:t>
      </w:r>
      <w:r w:rsidR="00A408CB">
        <w:rPr>
          <w:rFonts w:eastAsiaTheme="majorEastAsia"/>
        </w:rPr>
        <w:t>rhů či konceptů.</w:t>
      </w:r>
    </w:p>
    <w:p w:rsidR="00A408CB" w:rsidRDefault="00A408CB" w:rsidP="00A408CB">
      <w:pPr>
        <w:spacing w:before="120" w:after="0"/>
        <w:ind w:firstLine="284"/>
        <w:rPr>
          <w:rFonts w:eastAsiaTheme="majorEastAsia"/>
        </w:rPr>
      </w:pPr>
      <w:r>
        <w:rPr>
          <w:rFonts w:eastAsiaTheme="majorEastAsia"/>
        </w:rPr>
        <w:t xml:space="preserve">O něco jednodušší je situaci ve vodní dopravě. Zde existuje mezinárodní systém RIS. O jiných systémech nebyly zjištěny relevantní informace. Spíše je kladen důraz na sledování zásilek které do Německa připlouvají po moři a tak v některých přístavech existují systémy pro sledování lodí s tímto nákladem. Námořní přeprava ale není obsahem této studie a proto zde nebyly uvedeny systémy, které fungují v jednotlivých přístavech. </w:t>
      </w:r>
    </w:p>
    <w:p w:rsidR="00A408CB" w:rsidRDefault="00A408CB" w:rsidP="00EC42D0">
      <w:pPr>
        <w:spacing w:before="120" w:after="0"/>
        <w:ind w:firstLine="284"/>
        <w:rPr>
          <w:rFonts w:eastAsiaTheme="majorEastAsia"/>
        </w:rPr>
      </w:pPr>
      <w:r>
        <w:rPr>
          <w:rFonts w:eastAsiaTheme="majorEastAsia"/>
        </w:rPr>
        <w:t>Důležitou otázkou je propojitelnost existujících či vznikajících systémů do jednoho velkého celku. Tímto problémem se v poslední době zabývá v Německu řada předních expertů a na tuto problematiku je kladen velký důraz.</w:t>
      </w:r>
    </w:p>
    <w:p w:rsidR="00A408CB" w:rsidRDefault="00FA1B2A" w:rsidP="00EC42D0">
      <w:pPr>
        <w:spacing w:before="120" w:after="0"/>
        <w:ind w:firstLine="284"/>
        <w:rPr>
          <w:rFonts w:eastAsiaTheme="majorEastAsia"/>
        </w:rPr>
      </w:pPr>
      <w:r>
        <w:rPr>
          <w:rFonts w:eastAsiaTheme="majorEastAsia"/>
        </w:rPr>
        <w:lastRenderedPageBreak/>
        <w:t xml:space="preserve">Dalším podrobně sledovaným státem byla </w:t>
      </w:r>
      <w:r w:rsidRPr="00FA1B2A">
        <w:rPr>
          <w:rFonts w:eastAsiaTheme="majorEastAsia"/>
          <w:b/>
        </w:rPr>
        <w:t>Republika Rakousko</w:t>
      </w:r>
      <w:r>
        <w:rPr>
          <w:rFonts w:eastAsiaTheme="majorEastAsia"/>
        </w:rPr>
        <w:t xml:space="preserve">. Ani zde neexistuje jednotný systém sledování nebezpečných věcí. Zde je situace oproti Německu o něco jednodušší. </w:t>
      </w:r>
      <w:r w:rsidR="00691307">
        <w:rPr>
          <w:rFonts w:eastAsiaTheme="majorEastAsia"/>
        </w:rPr>
        <w:t xml:space="preserve">Rakousko se během posledních let zapojuje do různých mezinárodních projektů, které řeší otázku sledování nebezpečných věcí. Na národní úrovni ale není příliš informací ani systémů. </w:t>
      </w:r>
    </w:p>
    <w:p w:rsidR="00722AD5" w:rsidRDefault="00691307" w:rsidP="00EC42D0">
      <w:pPr>
        <w:spacing w:before="120" w:after="0"/>
        <w:ind w:firstLine="284"/>
        <w:rPr>
          <w:rFonts w:eastAsiaTheme="majorEastAsia"/>
        </w:rPr>
      </w:pPr>
      <w:r>
        <w:rPr>
          <w:rFonts w:eastAsiaTheme="majorEastAsia"/>
        </w:rPr>
        <w:t xml:space="preserve">Na území Rakouska bylo testováno několik technologií v rámci různých projektů probíhajících v Evropě. Bohužel tyto projekty se konaly zhruba před 8 lety a od té doby o nich nejsou žádné další informace. Technologie se vyzkoušely, vyhodnotily, ale další otázkou nasazení do běžného provozu se nikdo nezabýval. </w:t>
      </w:r>
      <w:r w:rsidR="00EC7640">
        <w:rPr>
          <w:rFonts w:eastAsiaTheme="majorEastAsia"/>
        </w:rPr>
        <w:t xml:space="preserve">Fungující systém ale existuje ve vodní dopravě a to na Dunaji. Jedná se o systém DORIS, který sleduje pohyb lodí. </w:t>
      </w:r>
    </w:p>
    <w:p w:rsidR="00EC7640" w:rsidRDefault="00EC7640" w:rsidP="00EC7640">
      <w:pPr>
        <w:spacing w:before="120" w:after="0"/>
        <w:ind w:firstLine="284"/>
        <w:rPr>
          <w:rFonts w:eastAsiaTheme="majorEastAsia"/>
        </w:rPr>
      </w:pPr>
      <w:r>
        <w:rPr>
          <w:rFonts w:eastAsiaTheme="majorEastAsia"/>
        </w:rPr>
        <w:t xml:space="preserve">V dalším sousedním státu </w:t>
      </w:r>
      <w:r w:rsidRPr="00EC7640">
        <w:rPr>
          <w:rFonts w:eastAsiaTheme="majorEastAsia"/>
          <w:b/>
        </w:rPr>
        <w:t>Polské republice</w:t>
      </w:r>
      <w:r>
        <w:rPr>
          <w:rFonts w:eastAsiaTheme="majorEastAsia"/>
        </w:rPr>
        <w:t xml:space="preserve"> se sledování nebezpečných nákladů koná především na železnici. Papírová podoba systému existovala už v sedmdesátých letech 20. století. Dnes za tímto účelem vznikají nové systémy, jež místo zaměstnanců a papíru používají GPS (výhledově GALILEO). Takovým systémem je třeba uvedený TRANSLOG Safety. Kromě toho, někteří soukromí dopravci vyvíjejí vlastní systémy sledování nákladů (např. CTL), stejně jako je tomu i v sousedních zemích. Bohužel, z důvodu komerčního charakteru těchto systémů se nepodařilo zjistit o nich žádné konkrétní informace, které by mohly být v této studii zveřejněny.</w:t>
      </w:r>
    </w:p>
    <w:p w:rsidR="00EC7640" w:rsidRDefault="00EC7640" w:rsidP="00EC7640">
      <w:pPr>
        <w:spacing w:before="120"/>
        <w:ind w:firstLine="284"/>
        <w:rPr>
          <w:rFonts w:eastAsiaTheme="majorEastAsia"/>
        </w:rPr>
      </w:pPr>
      <w:r>
        <w:rPr>
          <w:rFonts w:eastAsiaTheme="majorEastAsia"/>
        </w:rPr>
        <w:t>Podobný způsob existuje i v silniční dopravě, kde přeprava nebezpečných věcí podléhá ohlašovací povinnosti hasičské službě a policii. Kromě toho se žádné další sledování neprovádí. Je možné, že vlastní sledování provádí některé soukromé subjekty, nepovedlo se je však kontaktovat a nejsou o tom tudíž žádné informace. V současné době se navíc mění legislativa a ohlašovací povinnost může být novou vyhláškou, jež se objeví do konce června, zrušena. Doporučuje se opakované seznámení se s legislativou po její úplné novelizaci.</w:t>
      </w:r>
    </w:p>
    <w:p w:rsidR="00EC7640" w:rsidRPr="006A04A9" w:rsidRDefault="00EC7640" w:rsidP="00EC7640">
      <w:pPr>
        <w:ind w:firstLine="284"/>
        <w:rPr>
          <w:rFonts w:eastAsiaTheme="majorEastAsia"/>
        </w:rPr>
      </w:pPr>
      <w:r>
        <w:rPr>
          <w:rFonts w:eastAsiaTheme="majorEastAsia"/>
        </w:rPr>
        <w:t>Ve vodní dopravě se sledování nebezpečných nákladů nejspíš neprovádí. Nepovedlo se o tom najít jakékoli</w:t>
      </w:r>
      <w:r w:rsidR="00A81E63">
        <w:rPr>
          <w:rFonts w:eastAsiaTheme="majorEastAsia"/>
        </w:rPr>
        <w:t>v</w:t>
      </w:r>
      <w:r>
        <w:rPr>
          <w:rFonts w:eastAsiaTheme="majorEastAsia"/>
        </w:rPr>
        <w:t xml:space="preserve"> informace. Dokonce</w:t>
      </w:r>
      <w:r w:rsidR="00A81E63">
        <w:rPr>
          <w:rFonts w:eastAsiaTheme="majorEastAsia"/>
        </w:rPr>
        <w:t xml:space="preserve"> legislativní dokumenty se nezmi</w:t>
      </w:r>
      <w:r>
        <w:rPr>
          <w:rFonts w:eastAsiaTheme="majorEastAsia"/>
        </w:rPr>
        <w:t>ňují o možném procesu sledování, což může být argumentem potvrzujícím neexistenci takových systémů ve vodní dopravě.</w:t>
      </w:r>
    </w:p>
    <w:p w:rsidR="00A81E63" w:rsidRPr="002E6108" w:rsidRDefault="00A81E63" w:rsidP="00A81E63">
      <w:pPr>
        <w:spacing w:after="0"/>
        <w:ind w:firstLine="284"/>
        <w:rPr>
          <w:rFonts w:eastAsiaTheme="majorEastAsia"/>
        </w:rPr>
      </w:pPr>
      <w:r>
        <w:rPr>
          <w:rFonts w:eastAsiaTheme="majorEastAsia"/>
        </w:rPr>
        <w:t xml:space="preserve">Posledním detailně sledovaným státem je </w:t>
      </w:r>
      <w:r w:rsidRPr="00A81E63">
        <w:rPr>
          <w:rFonts w:eastAsiaTheme="majorEastAsia"/>
          <w:b/>
        </w:rPr>
        <w:t>Slovenská republika</w:t>
      </w:r>
      <w:r>
        <w:rPr>
          <w:rFonts w:eastAsiaTheme="majorEastAsia"/>
        </w:rPr>
        <w:t>, kde je m</w:t>
      </w:r>
      <w:r w:rsidRPr="002E6108">
        <w:rPr>
          <w:rFonts w:eastAsiaTheme="majorEastAsia"/>
        </w:rPr>
        <w:t xml:space="preserve">onitorování pohybu nebezpečných nákladů teprve v počátcích. Legislativa přejímá mezinárodní dohody a nijak zvlášť je nerozšiřuje. Monitorování pomocí OBU a podobných zařízení </w:t>
      </w:r>
      <w:r>
        <w:rPr>
          <w:rFonts w:eastAsiaTheme="majorEastAsia"/>
        </w:rPr>
        <w:t xml:space="preserve">se </w:t>
      </w:r>
      <w:r w:rsidRPr="002E6108">
        <w:rPr>
          <w:rFonts w:eastAsiaTheme="majorEastAsia"/>
        </w:rPr>
        <w:t>pouze doporučuje.</w:t>
      </w:r>
      <w:r>
        <w:rPr>
          <w:rFonts w:eastAsiaTheme="majorEastAsia"/>
        </w:rPr>
        <w:t xml:space="preserve"> I zde, stejně jako v ostatních analyzovaných státech,</w:t>
      </w:r>
      <w:r w:rsidRPr="002E6108">
        <w:rPr>
          <w:rFonts w:eastAsiaTheme="majorEastAsia"/>
        </w:rPr>
        <w:t xml:space="preserve"> neexistuje žádný národní systém monitorování</w:t>
      </w:r>
      <w:r>
        <w:rPr>
          <w:rFonts w:eastAsiaTheme="majorEastAsia"/>
        </w:rPr>
        <w:t>. Na Slovensku ale neexistuje</w:t>
      </w:r>
      <w:r w:rsidRPr="002E6108">
        <w:rPr>
          <w:rFonts w:eastAsiaTheme="majorEastAsia"/>
        </w:rPr>
        <w:t xml:space="preserve"> ani centrální databáze přepravovaných nebezpečných nákladů. Monitorování jejich pohybu si tak řeší firmy sami a díky tomu neexistuje žádné standardizované propojení mezi dopravci a záchrannými složkami. Dle zjištěných informací se mnohdy ani nedodržují mezinárodní smlouvy a přeprava nebezpečných nákladů probíhá takzvaně „na černo“.</w:t>
      </w:r>
    </w:p>
    <w:p w:rsidR="00A81E63" w:rsidRPr="002E6108" w:rsidRDefault="00A81E63" w:rsidP="00A81E63">
      <w:pPr>
        <w:spacing w:before="120"/>
        <w:rPr>
          <w:rFonts w:eastAsiaTheme="majorEastAsia"/>
        </w:rPr>
      </w:pPr>
      <w:r w:rsidRPr="002E6108">
        <w:rPr>
          <w:rFonts w:eastAsiaTheme="majorEastAsia"/>
        </w:rPr>
        <w:t xml:space="preserve">Na Slovensku vznikl z evropského grantu </w:t>
      </w:r>
      <w:r w:rsidRPr="002E6108">
        <w:t>CONNECT</w:t>
      </w:r>
      <w:r w:rsidRPr="002E6108">
        <w:rPr>
          <w:rFonts w:eastAsiaTheme="majorEastAsia"/>
        </w:rPr>
        <w:t xml:space="preserve"> pilotní projekt palubní jednotky OBU. Její vývoj byl ukončen, následně byla řešena realizovatelnost a organizační příprava. V současné době se řeší možnost zapojení mýtné infrastruktury do monitorování nebezpečného nákladu. Zavedení systému je tedy plánované, nicméně není ze strany státních orgánů potvrzené.</w:t>
      </w:r>
    </w:p>
    <w:p w:rsidR="00A81E63" w:rsidRPr="002E6108" w:rsidRDefault="00A81E63" w:rsidP="00A81E63">
      <w:pPr>
        <w:rPr>
          <w:rFonts w:eastAsiaTheme="majorEastAsia"/>
        </w:rPr>
      </w:pPr>
      <w:r w:rsidRPr="002E6108">
        <w:rPr>
          <w:rFonts w:eastAsiaTheme="majorEastAsia"/>
        </w:rPr>
        <w:t>V železniční dopravě probíhá zavedené předávání informací mezi dopravci a správcem železniční infrastruktury. Sledování tak probíhá tradičními železničními prostředky. Na využití ETCS není připravena infrastruktura a nasazení OBU je považováno ze strany dopravců za příliš velkou investici.</w:t>
      </w:r>
    </w:p>
    <w:p w:rsidR="00A81E63" w:rsidRDefault="00950931" w:rsidP="00950931">
      <w:pPr>
        <w:spacing w:before="120" w:after="0"/>
        <w:ind w:firstLine="284"/>
        <w:rPr>
          <w:rFonts w:eastAsiaTheme="majorEastAsia"/>
        </w:rPr>
      </w:pPr>
      <w:r>
        <w:rPr>
          <w:rFonts w:eastAsiaTheme="majorEastAsia"/>
        </w:rPr>
        <w:lastRenderedPageBreak/>
        <w:t xml:space="preserve">Poslední částí této studie jsou projekty vytvořené v Evropě. Byly uvedeny pouze ty projekty, o kterých existují alespoň nějaké podrobnější informace a týkají se uvedených zemí. </w:t>
      </w:r>
    </w:p>
    <w:p w:rsidR="00950931" w:rsidRDefault="00950931" w:rsidP="00D45A5D">
      <w:pPr>
        <w:spacing w:before="120" w:after="0"/>
        <w:ind w:firstLine="284"/>
        <w:rPr>
          <w:rFonts w:eastAsiaTheme="majorEastAsia"/>
        </w:rPr>
      </w:pPr>
      <w:r>
        <w:rPr>
          <w:rFonts w:eastAsiaTheme="majorEastAsia"/>
        </w:rPr>
        <w:t xml:space="preserve">Jedním takovým projektem je systém MITRA. </w:t>
      </w:r>
      <w:r w:rsidR="00D45A5D">
        <w:rPr>
          <w:rFonts w:eastAsiaTheme="majorEastAsia"/>
        </w:rPr>
        <w:t>Ten byl realizován v pilotním provozu, při kterém byla otestována technologie</w:t>
      </w:r>
      <w:r w:rsidR="00EF51E5">
        <w:rPr>
          <w:rFonts w:eastAsiaTheme="majorEastAsia"/>
        </w:rPr>
        <w:t>,</w:t>
      </w:r>
      <w:r w:rsidR="00D45A5D">
        <w:rPr>
          <w:rFonts w:eastAsiaTheme="majorEastAsia"/>
        </w:rPr>
        <w:t xml:space="preserve"> a bylo vyzkoušeno reálné nasazení. </w:t>
      </w:r>
      <w:r w:rsidRPr="00F879C3">
        <w:rPr>
          <w:rFonts w:eastAsiaTheme="majorEastAsia"/>
        </w:rPr>
        <w:t>Bohužel poslední informace pocházejí z roku 2006 a o jeho realizaci a nasazení do běžného provozu nejsou informace. Dá se tak předpokládat, že k jeho nasazení nedošlo a po ukončení financování z fondů EU práce na projektu skončily.</w:t>
      </w:r>
    </w:p>
    <w:p w:rsidR="00950931" w:rsidRDefault="00D45A5D" w:rsidP="00D45A5D">
      <w:pPr>
        <w:tabs>
          <w:tab w:val="left" w:pos="1134"/>
        </w:tabs>
        <w:spacing w:before="120" w:after="0"/>
        <w:ind w:firstLine="284"/>
        <w:rPr>
          <w:color w:val="000000"/>
          <w:shd w:val="clear" w:color="auto" w:fill="FFFFFF"/>
        </w:rPr>
      </w:pPr>
      <w:r>
        <w:rPr>
          <w:rFonts w:eastAsiaTheme="majorEastAsia"/>
        </w:rPr>
        <w:t>Dalším projektem je aktuálně běžící a rozvíjející se systém SCUTUM. Jedná se o projekt řízený Evropskou agenturou pro GNSS (GSA) a j</w:t>
      </w:r>
      <w:r>
        <w:rPr>
          <w:color w:val="000000"/>
          <w:szCs w:val="20"/>
          <w:shd w:val="clear" w:color="auto" w:fill="FFFFFF"/>
        </w:rPr>
        <w:t xml:space="preserve">edná se o tedy o jakési zajištění přijetí GNSS při přepravě nebezpečných věcí. Je založený na </w:t>
      </w:r>
      <w:r>
        <w:rPr>
          <w:color w:val="000000"/>
          <w:shd w:val="clear" w:color="auto" w:fill="FFFFFF"/>
        </w:rPr>
        <w:t xml:space="preserve">systému EGNOS, který poskytuje větší přesnost ve srovnání s GPS a je vhodný pro aplikace, které vyžadují přesnou a spolehlivou lokalizaci. Projekt SCUTUM napomohl v přijetí systému EGNOS v rámci Evropy při sledování silničních vozidel s nebezpečnými náklady. Mezi jednou z několika zapojených firem do projektu je ropná společnost ENI, která přijala EGNOS pro sledování svých vozidel. </w:t>
      </w:r>
    </w:p>
    <w:p w:rsidR="00D45A5D" w:rsidRDefault="00D45A5D" w:rsidP="00D45A5D">
      <w:pPr>
        <w:tabs>
          <w:tab w:val="left" w:pos="1134"/>
        </w:tabs>
        <w:spacing w:before="120" w:after="0"/>
        <w:ind w:firstLine="284"/>
        <w:rPr>
          <w:color w:val="000000"/>
          <w:shd w:val="clear" w:color="auto" w:fill="FFFFFF"/>
        </w:rPr>
      </w:pPr>
      <w:r>
        <w:rPr>
          <w:color w:val="000000"/>
          <w:shd w:val="clear" w:color="auto" w:fill="FFFFFF"/>
        </w:rPr>
        <w:t xml:space="preserve">Poslední sledovanou oblastí byli Alpy. Jedná o území států Itálie, Rakousko a Německo a díky tomu se jedná o mezinárodní spolupráci. Přeprava nebezpečných věcí v citlivé oblasti Alp je problematická a proto je snaha vytvořit nejen telematickou aplikaci pro vlastní sledování pohybu vozidle, ale také vytvořit centrum pro řízení a plánování tras těchto vozidel, aby v případě nehody či havárie byla příroda zasažena co nejméně. V rámci této oblasti vzniká několik projektů, které jsou postavené na podobných principech i obdobných architekturách a je jen otázkou času, kdy dojde k nasazení do běžného provozu, alespoň v této horské oblasti. </w:t>
      </w:r>
    </w:p>
    <w:p w:rsidR="00011652" w:rsidRDefault="00011652">
      <w:pPr>
        <w:spacing w:after="0"/>
        <w:ind w:firstLine="0"/>
        <w:jc w:val="left"/>
        <w:rPr>
          <w:color w:val="000000"/>
          <w:shd w:val="clear" w:color="auto" w:fill="FFFFFF"/>
        </w:rPr>
      </w:pPr>
      <w:r>
        <w:rPr>
          <w:color w:val="000000"/>
          <w:shd w:val="clear" w:color="auto" w:fill="FFFFFF"/>
        </w:rPr>
        <w:br w:type="page"/>
      </w:r>
    </w:p>
    <w:p w:rsidR="00011652" w:rsidRPr="00F879C3" w:rsidRDefault="00011652" w:rsidP="00011652">
      <w:pPr>
        <w:pStyle w:val="Nadpis2"/>
        <w:rPr>
          <w:rFonts w:eastAsiaTheme="majorEastAsia"/>
          <w:sz w:val="30"/>
          <w:szCs w:val="30"/>
        </w:rPr>
      </w:pPr>
      <w:bookmarkStart w:id="82" w:name="_Toc326741543"/>
      <w:r>
        <w:rPr>
          <w:rFonts w:eastAsiaTheme="majorEastAsia"/>
          <w:sz w:val="30"/>
          <w:szCs w:val="30"/>
        </w:rPr>
        <w:lastRenderedPageBreak/>
        <w:t>Grafické shrnutí</w:t>
      </w:r>
      <w:bookmarkEnd w:id="82"/>
      <w:r>
        <w:rPr>
          <w:rFonts w:eastAsiaTheme="majorEastAsia"/>
          <w:sz w:val="30"/>
          <w:szCs w:val="30"/>
        </w:rPr>
        <w:t xml:space="preserve"> </w:t>
      </w:r>
    </w:p>
    <w:p w:rsidR="00011652" w:rsidRDefault="00011652" w:rsidP="00011652">
      <w:pPr>
        <w:pStyle w:val="Nadpis3"/>
        <w:rPr>
          <w:rFonts w:ascii="Times New Roman" w:eastAsiaTheme="majorEastAsia" w:hAnsi="Times New Roman"/>
          <w:sz w:val="28"/>
        </w:rPr>
      </w:pPr>
      <w:bookmarkStart w:id="83" w:name="_Toc326741544"/>
      <w:r>
        <w:rPr>
          <w:rFonts w:ascii="Times New Roman" w:eastAsiaTheme="majorEastAsia" w:hAnsi="Times New Roman"/>
          <w:sz w:val="28"/>
        </w:rPr>
        <w:t>Spolková republika Německo</w:t>
      </w:r>
      <w:bookmarkEnd w:id="83"/>
      <w:r>
        <w:rPr>
          <w:rFonts w:ascii="Times New Roman" w:eastAsiaTheme="majorEastAsia" w:hAnsi="Times New Roman"/>
          <w:sz w:val="28"/>
        </w:rPr>
        <w:t xml:space="preserve"> </w:t>
      </w:r>
    </w:p>
    <w:p w:rsidR="00011652" w:rsidRPr="00011652" w:rsidRDefault="00011652" w:rsidP="00011652">
      <w:pPr>
        <w:rPr>
          <w:rFonts w:eastAsiaTheme="majorEastAsia"/>
          <w:sz w:val="10"/>
        </w:rPr>
      </w:pPr>
    </w:p>
    <w:tbl>
      <w:tblPr>
        <w:tblW w:w="6641" w:type="dxa"/>
        <w:jc w:val="center"/>
        <w:tblInd w:w="55" w:type="dxa"/>
        <w:tblCellMar>
          <w:left w:w="70" w:type="dxa"/>
          <w:right w:w="70" w:type="dxa"/>
        </w:tblCellMar>
        <w:tblLook w:val="04A0"/>
      </w:tblPr>
      <w:tblGrid>
        <w:gridCol w:w="3256"/>
        <w:gridCol w:w="3385"/>
      </w:tblGrid>
      <w:tr w:rsidR="00011652" w:rsidRPr="00011652" w:rsidTr="00011652">
        <w:trPr>
          <w:trHeight w:val="113"/>
          <w:jc w:val="center"/>
        </w:trPr>
        <w:tc>
          <w:tcPr>
            <w:tcW w:w="3256" w:type="dxa"/>
            <w:tcBorders>
              <w:top w:val="nil"/>
              <w:left w:val="nil"/>
              <w:bottom w:val="single" w:sz="12" w:space="0" w:color="auto"/>
              <w:right w:val="nil"/>
            </w:tcBorders>
            <w:shd w:val="clear" w:color="auto" w:fill="auto"/>
            <w:noWrap/>
            <w:vAlign w:val="bottom"/>
            <w:hideMark/>
          </w:tcPr>
          <w:p w:rsidR="00011652" w:rsidRPr="00011652" w:rsidRDefault="00011652" w:rsidP="00011652">
            <w:pPr>
              <w:spacing w:after="0"/>
              <w:ind w:firstLine="0"/>
              <w:jc w:val="left"/>
              <w:rPr>
                <w:color w:val="000000"/>
              </w:rPr>
            </w:pPr>
          </w:p>
        </w:tc>
        <w:tc>
          <w:tcPr>
            <w:tcW w:w="3385" w:type="dxa"/>
            <w:tcBorders>
              <w:top w:val="nil"/>
              <w:left w:val="nil"/>
              <w:bottom w:val="single" w:sz="12" w:space="0" w:color="auto"/>
              <w:right w:val="nil"/>
            </w:tcBorders>
            <w:shd w:val="clear" w:color="auto" w:fill="auto"/>
            <w:noWrap/>
            <w:vAlign w:val="bottom"/>
            <w:hideMark/>
          </w:tcPr>
          <w:p w:rsidR="00011652" w:rsidRPr="00011652" w:rsidRDefault="00011652" w:rsidP="00011652">
            <w:pPr>
              <w:spacing w:after="0"/>
              <w:ind w:firstLine="0"/>
              <w:jc w:val="left"/>
              <w:rPr>
                <w:color w:val="000000"/>
              </w:rPr>
            </w:pPr>
          </w:p>
        </w:tc>
      </w:tr>
      <w:tr w:rsidR="00011652" w:rsidRPr="00011652" w:rsidTr="00011652">
        <w:trPr>
          <w:trHeight w:val="420"/>
          <w:jc w:val="center"/>
        </w:trPr>
        <w:tc>
          <w:tcPr>
            <w:tcW w:w="6641"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center"/>
              <w:rPr>
                <w:b/>
                <w:bCs/>
                <w:color w:val="000000"/>
                <w:sz w:val="28"/>
                <w:szCs w:val="28"/>
              </w:rPr>
            </w:pPr>
            <w:r w:rsidRPr="00011652">
              <w:rPr>
                <w:b/>
                <w:bCs/>
                <w:color w:val="000000"/>
                <w:sz w:val="28"/>
                <w:szCs w:val="28"/>
              </w:rPr>
              <w:t>legislativa - obecné předpisy</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GGBefG - Zákon o přepravě nebezpečných věcí</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 xml:space="preserve">ChemG - Zákon o ochraně před nebezpečnými materiály </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GefStoffV - Nařízení o nebezpečných látkách</w:t>
            </w:r>
          </w:p>
        </w:tc>
      </w:tr>
      <w:tr w:rsidR="00011652" w:rsidRPr="00011652" w:rsidTr="00011652">
        <w:trPr>
          <w:trHeight w:val="63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ATG - Zákon o mírovém užívání jaderné energie a ochrany před jeho riziky</w:t>
            </w:r>
          </w:p>
        </w:tc>
      </w:tr>
      <w:tr w:rsidR="00011652" w:rsidRPr="00011652" w:rsidTr="00011652">
        <w:trPr>
          <w:trHeight w:val="42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center"/>
              <w:rPr>
                <w:b/>
                <w:bCs/>
                <w:color w:val="000000"/>
                <w:sz w:val="28"/>
                <w:szCs w:val="28"/>
              </w:rPr>
            </w:pPr>
            <w:r w:rsidRPr="00011652">
              <w:rPr>
                <w:b/>
                <w:bCs/>
                <w:color w:val="000000"/>
                <w:sz w:val="28"/>
                <w:szCs w:val="28"/>
              </w:rPr>
              <w:t>legislativa - aplikace ADR</w:t>
            </w:r>
          </w:p>
        </w:tc>
      </w:tr>
      <w:tr w:rsidR="00011652" w:rsidRPr="00011652" w:rsidTr="00011652">
        <w:trPr>
          <w:trHeight w:val="765"/>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GGVSEB - Nařízení o vnitrostátní a mezinárodní přepravě nebezpečných věcí po silnici, železnici a vnitrozemských vodách</w:t>
            </w:r>
          </w:p>
        </w:tc>
      </w:tr>
      <w:tr w:rsidR="00011652" w:rsidRPr="00011652" w:rsidTr="00011652">
        <w:trPr>
          <w:trHeight w:val="42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center"/>
              <w:rPr>
                <w:b/>
                <w:bCs/>
                <w:color w:val="000000"/>
                <w:sz w:val="28"/>
                <w:szCs w:val="28"/>
              </w:rPr>
            </w:pPr>
            <w:r w:rsidRPr="00011652">
              <w:rPr>
                <w:b/>
                <w:bCs/>
                <w:color w:val="000000"/>
                <w:sz w:val="28"/>
                <w:szCs w:val="28"/>
              </w:rPr>
              <w:t>legislativa - ostatní národní předpisy</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GbV - Nařízení o zavedení poradce pro nebezpečné věci v podnicích</w:t>
            </w:r>
          </w:p>
        </w:tc>
      </w:tr>
      <w:tr w:rsidR="00011652" w:rsidRPr="00011652" w:rsidTr="00011652">
        <w:trPr>
          <w:trHeight w:val="6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bottom"/>
            <w:hideMark/>
          </w:tcPr>
          <w:p w:rsidR="00011652" w:rsidRPr="00011652" w:rsidRDefault="00011652" w:rsidP="00011652">
            <w:pPr>
              <w:spacing w:after="0"/>
              <w:ind w:firstLine="0"/>
              <w:jc w:val="left"/>
              <w:rPr>
                <w:color w:val="000000"/>
              </w:rPr>
            </w:pPr>
            <w:r w:rsidRPr="00011652">
              <w:rPr>
                <w:color w:val="000000"/>
              </w:rPr>
              <w:t>GGAV - Nařízení o výjimkách z předpisů o přepravě nebezpečných věcí</w:t>
            </w:r>
          </w:p>
        </w:tc>
      </w:tr>
      <w:tr w:rsidR="00011652" w:rsidRPr="00011652" w:rsidTr="00011652">
        <w:trPr>
          <w:trHeight w:val="6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bottom"/>
            <w:hideMark/>
          </w:tcPr>
          <w:p w:rsidR="00011652" w:rsidRPr="00011652" w:rsidRDefault="00011652" w:rsidP="00011652">
            <w:pPr>
              <w:spacing w:after="0"/>
              <w:ind w:firstLine="0"/>
              <w:jc w:val="left"/>
              <w:rPr>
                <w:color w:val="000000"/>
              </w:rPr>
            </w:pPr>
            <w:r w:rsidRPr="00011652">
              <w:rPr>
                <w:color w:val="000000"/>
              </w:rPr>
              <w:t xml:space="preserve">GGKostV - Nařízení o nákladech na opatření při přepravě nebezpečných věcí </w:t>
            </w:r>
          </w:p>
        </w:tc>
      </w:tr>
      <w:tr w:rsidR="00011652" w:rsidRPr="00011652" w:rsidTr="00011652">
        <w:trPr>
          <w:trHeight w:val="6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vAlign w:val="bottom"/>
            <w:hideMark/>
          </w:tcPr>
          <w:p w:rsidR="00011652" w:rsidRPr="00011652" w:rsidRDefault="00011652" w:rsidP="00011652">
            <w:pPr>
              <w:spacing w:after="0"/>
              <w:ind w:firstLine="0"/>
              <w:jc w:val="left"/>
              <w:rPr>
                <w:color w:val="000000"/>
              </w:rPr>
            </w:pPr>
            <w:r w:rsidRPr="00011652">
              <w:rPr>
                <w:color w:val="000000"/>
              </w:rPr>
              <w:t xml:space="preserve">GGKontrollV - Nařízení o kontrole přepravy nebezpečných nákladů na silnici a podnicích </w:t>
            </w:r>
          </w:p>
        </w:tc>
      </w:tr>
      <w:tr w:rsidR="00011652" w:rsidRPr="00011652" w:rsidTr="00011652">
        <w:trPr>
          <w:trHeight w:val="360"/>
          <w:jc w:val="center"/>
        </w:trPr>
        <w:tc>
          <w:tcPr>
            <w:tcW w:w="6641" w:type="dxa"/>
            <w:gridSpan w:val="2"/>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StrlSchV - Nařízení o ochraně proti ionizujícímu záření</w:t>
            </w:r>
          </w:p>
        </w:tc>
      </w:tr>
      <w:tr w:rsidR="00011652" w:rsidRPr="00011652" w:rsidTr="00011652">
        <w:trPr>
          <w:trHeight w:val="360"/>
          <w:jc w:val="center"/>
        </w:trPr>
        <w:tc>
          <w:tcPr>
            <w:tcW w:w="6641"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center"/>
              <w:rPr>
                <w:b/>
                <w:bCs/>
                <w:color w:val="000000"/>
              </w:rPr>
            </w:pPr>
            <w:r w:rsidRPr="00011652">
              <w:rPr>
                <w:b/>
                <w:bCs/>
                <w:color w:val="000000"/>
              </w:rPr>
              <w:t>ŽELEZNIČNÍ PŘEPRAVA</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Legislativa</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GGVSEB</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Evidence</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přepravní dokumenty ze zákona</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Telematický systém</w:t>
            </w:r>
          </w:p>
        </w:tc>
      </w:tr>
      <w:tr w:rsidR="00011652" w:rsidRPr="00011652" w:rsidTr="00011652">
        <w:trPr>
          <w:trHeight w:val="705"/>
          <w:jc w:val="center"/>
        </w:trPr>
        <w:tc>
          <w:tcPr>
            <w:tcW w:w="3256" w:type="dxa"/>
            <w:vMerge w:val="restart"/>
            <w:tcBorders>
              <w:top w:val="nil"/>
              <w:left w:val="single" w:sz="12" w:space="0" w:color="auto"/>
              <w:bottom w:val="single" w:sz="4" w:space="0" w:color="000000"/>
              <w:right w:val="single" w:sz="4" w:space="0" w:color="auto"/>
            </w:tcBorders>
            <w:shd w:val="clear" w:color="auto" w:fill="auto"/>
            <w:vAlign w:val="center"/>
            <w:hideMark/>
          </w:tcPr>
          <w:p w:rsidR="00011652" w:rsidRPr="00011652" w:rsidRDefault="00011652" w:rsidP="00011652">
            <w:pPr>
              <w:spacing w:after="0"/>
              <w:ind w:firstLineChars="200" w:firstLine="480"/>
              <w:jc w:val="left"/>
              <w:rPr>
                <w:color w:val="000000"/>
              </w:rPr>
            </w:pPr>
            <w:r w:rsidRPr="00011652">
              <w:rPr>
                <w:color w:val="000000"/>
              </w:rPr>
              <w:t>GSM-R</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24 000 km + 5 000 km vedlejších tratí</w:t>
            </w:r>
          </w:p>
        </w:tc>
      </w:tr>
      <w:tr w:rsidR="00011652" w:rsidRPr="00011652" w:rsidTr="00011652">
        <w:trPr>
          <w:trHeight w:val="705"/>
          <w:jc w:val="center"/>
        </w:trPr>
        <w:tc>
          <w:tcPr>
            <w:tcW w:w="3256"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2853 vysílacích a přijímacích stanic, 63 řídích stanic</w:t>
            </w:r>
          </w:p>
        </w:tc>
      </w:tr>
      <w:tr w:rsidR="00011652" w:rsidRPr="00011652" w:rsidTr="00011652">
        <w:trPr>
          <w:trHeight w:val="360"/>
          <w:jc w:val="center"/>
        </w:trPr>
        <w:tc>
          <w:tcPr>
            <w:tcW w:w="3256"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7 NSC, 4 NOC</w:t>
            </w:r>
          </w:p>
        </w:tc>
      </w:tr>
      <w:tr w:rsidR="00011652" w:rsidRPr="00011652" w:rsidTr="00011652">
        <w:trPr>
          <w:trHeight w:val="360"/>
          <w:jc w:val="center"/>
        </w:trPr>
        <w:tc>
          <w:tcPr>
            <w:tcW w:w="3256"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asi 10 000 lokomotiv DB</w:t>
            </w:r>
          </w:p>
        </w:tc>
      </w:tr>
      <w:tr w:rsidR="00011652" w:rsidRPr="00011652" w:rsidTr="00011652">
        <w:trPr>
          <w:trHeight w:val="720"/>
          <w:jc w:val="center"/>
        </w:trPr>
        <w:tc>
          <w:tcPr>
            <w:tcW w:w="3256" w:type="dxa"/>
            <w:tcBorders>
              <w:top w:val="nil"/>
              <w:left w:val="single" w:sz="12" w:space="0" w:color="auto"/>
              <w:bottom w:val="single" w:sz="4" w:space="0" w:color="auto"/>
              <w:right w:val="single" w:sz="4" w:space="0" w:color="auto"/>
            </w:tcBorders>
            <w:shd w:val="clear" w:color="auto" w:fill="auto"/>
            <w:vAlign w:val="center"/>
            <w:hideMark/>
          </w:tcPr>
          <w:p w:rsidR="00011652" w:rsidRPr="00011652" w:rsidRDefault="00011652" w:rsidP="00011652">
            <w:pPr>
              <w:spacing w:after="0"/>
              <w:ind w:firstLineChars="200" w:firstLine="480"/>
              <w:jc w:val="left"/>
              <w:rPr>
                <w:color w:val="000000"/>
              </w:rPr>
            </w:pPr>
            <w:r w:rsidRPr="00011652">
              <w:rPr>
                <w:color w:val="000000"/>
              </w:rPr>
              <w:t>možnost využití telematických jednotek</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není dané zákonem, využíváno jen v několika daných případech</w:t>
            </w:r>
          </w:p>
        </w:tc>
      </w:tr>
      <w:tr w:rsidR="00011652" w:rsidRPr="00011652" w:rsidTr="00011652">
        <w:trPr>
          <w:trHeight w:val="360"/>
          <w:jc w:val="center"/>
        </w:trPr>
        <w:tc>
          <w:tcPr>
            <w:tcW w:w="3256" w:type="dxa"/>
            <w:vMerge w:val="restart"/>
            <w:tcBorders>
              <w:top w:val="nil"/>
              <w:left w:val="single" w:sz="12" w:space="0" w:color="auto"/>
              <w:bottom w:val="single" w:sz="12" w:space="0" w:color="auto"/>
              <w:right w:val="single" w:sz="4" w:space="0" w:color="auto"/>
            </w:tcBorders>
            <w:shd w:val="clear" w:color="auto" w:fill="auto"/>
            <w:noWrap/>
            <w:vAlign w:val="center"/>
            <w:hideMark/>
          </w:tcPr>
          <w:p w:rsidR="00011652" w:rsidRPr="00011652" w:rsidRDefault="00011652" w:rsidP="00011652">
            <w:pPr>
              <w:spacing w:after="0"/>
              <w:ind w:firstLineChars="200" w:firstLine="480"/>
              <w:jc w:val="left"/>
              <w:rPr>
                <w:color w:val="000000"/>
              </w:rPr>
            </w:pPr>
            <w:r w:rsidRPr="00011652">
              <w:rPr>
                <w:color w:val="000000"/>
              </w:rPr>
              <w:t xml:space="preserve">ETCS </w:t>
            </w:r>
          </w:p>
        </w:tc>
        <w:tc>
          <w:tcPr>
            <w:tcW w:w="3385" w:type="dxa"/>
            <w:tcBorders>
              <w:top w:val="single" w:sz="4" w:space="0" w:color="auto"/>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2005 - Halle/Leipzig - Berlin, L2</w:t>
            </w:r>
          </w:p>
        </w:tc>
      </w:tr>
      <w:tr w:rsidR="00011652" w:rsidRPr="00011652" w:rsidTr="00011652">
        <w:trPr>
          <w:trHeight w:val="360"/>
          <w:jc w:val="center"/>
        </w:trPr>
        <w:tc>
          <w:tcPr>
            <w:tcW w:w="3256" w:type="dxa"/>
            <w:vMerge/>
            <w:tcBorders>
              <w:top w:val="single" w:sz="12" w:space="0" w:color="auto"/>
              <w:left w:val="single" w:sz="12" w:space="0" w:color="auto"/>
              <w:bottom w:val="single" w:sz="12" w:space="0" w:color="auto"/>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single" w:sz="4" w:space="0" w:color="auto"/>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2009 - Aachen–Lüttich, L2</w:t>
            </w:r>
          </w:p>
        </w:tc>
      </w:tr>
      <w:tr w:rsidR="00011652" w:rsidRPr="00011652" w:rsidTr="00011652">
        <w:trPr>
          <w:trHeight w:val="1650"/>
          <w:jc w:val="center"/>
        </w:trPr>
        <w:tc>
          <w:tcPr>
            <w:tcW w:w="3256"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lastRenderedPageBreak/>
              <w:t>Plány rozvoje</w:t>
            </w:r>
          </w:p>
        </w:tc>
        <w:tc>
          <w:tcPr>
            <w:tcW w:w="3385" w:type="dxa"/>
            <w:tcBorders>
              <w:top w:val="single" w:sz="12" w:space="0" w:color="auto"/>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ETCS: 2012 - Berlin-Rostock,                  Nürberg-Ingolstadt-München, 2017-Nürberg-Lepzig/Halle,              2020 - 8000 km s ETCS,           2026 - všechny VRT na ETCS</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center"/>
              <w:rPr>
                <w:b/>
                <w:bCs/>
                <w:color w:val="000000"/>
              </w:rPr>
            </w:pPr>
            <w:r w:rsidRPr="00011652">
              <w:rPr>
                <w:b/>
                <w:bCs/>
                <w:color w:val="000000"/>
              </w:rPr>
              <w:t>SILNIČNÍ PŘEPRAVA</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Legislativa</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GGVSEB</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Evidence</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přepravní dokumenty ze zákona</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Národní systém</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NE</w:t>
            </w:r>
          </w:p>
        </w:tc>
      </w:tr>
      <w:tr w:rsidR="00011652" w:rsidRPr="00011652" w:rsidTr="00011652">
        <w:trPr>
          <w:trHeight w:val="360"/>
          <w:jc w:val="center"/>
        </w:trPr>
        <w:tc>
          <w:tcPr>
            <w:tcW w:w="3256" w:type="dxa"/>
            <w:vMerge w:val="restart"/>
            <w:tcBorders>
              <w:top w:val="nil"/>
              <w:left w:val="single" w:sz="12" w:space="0" w:color="auto"/>
              <w:bottom w:val="single" w:sz="4" w:space="0" w:color="000000"/>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Možnosti telematických aplikací</w:t>
            </w:r>
          </w:p>
        </w:tc>
        <w:tc>
          <w:tcPr>
            <w:tcW w:w="3385"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RFID</w:t>
            </w:r>
          </w:p>
        </w:tc>
      </w:tr>
      <w:tr w:rsidR="00011652" w:rsidRPr="00011652" w:rsidTr="00011652">
        <w:trPr>
          <w:trHeight w:val="360"/>
          <w:jc w:val="center"/>
        </w:trPr>
        <w:tc>
          <w:tcPr>
            <w:tcW w:w="3256"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Tracking &amp; Tracing </w:t>
            </w:r>
          </w:p>
        </w:tc>
      </w:tr>
      <w:tr w:rsidR="00011652" w:rsidRPr="00011652" w:rsidTr="00011652">
        <w:trPr>
          <w:trHeight w:val="360"/>
          <w:jc w:val="center"/>
        </w:trPr>
        <w:tc>
          <w:tcPr>
            <w:tcW w:w="3256" w:type="dxa"/>
            <w:vMerge w:val="restart"/>
            <w:tcBorders>
              <w:top w:val="nil"/>
              <w:left w:val="single" w:sz="12" w:space="0" w:color="auto"/>
              <w:bottom w:val="single" w:sz="4" w:space="0" w:color="000000"/>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Možná budocnoust</w:t>
            </w:r>
          </w:p>
        </w:tc>
        <w:tc>
          <w:tcPr>
            <w:tcW w:w="3385"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SafeNav</w:t>
            </w:r>
          </w:p>
        </w:tc>
      </w:tr>
      <w:tr w:rsidR="00011652" w:rsidRPr="00011652" w:rsidTr="00011652">
        <w:trPr>
          <w:trHeight w:val="360"/>
          <w:jc w:val="center"/>
        </w:trPr>
        <w:tc>
          <w:tcPr>
            <w:tcW w:w="3256"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OrangeBox</w:t>
            </w:r>
          </w:p>
        </w:tc>
      </w:tr>
      <w:tr w:rsidR="00011652" w:rsidRPr="00011652" w:rsidTr="00011652">
        <w:trPr>
          <w:trHeight w:val="1050"/>
          <w:jc w:val="center"/>
        </w:trPr>
        <w:tc>
          <w:tcPr>
            <w:tcW w:w="3256" w:type="dxa"/>
            <w:tcBorders>
              <w:top w:val="nil"/>
              <w:left w:val="single" w:sz="12" w:space="0" w:color="auto"/>
              <w:bottom w:val="single" w:sz="12" w:space="0" w:color="auto"/>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Plány rozvoje</w:t>
            </w:r>
          </w:p>
        </w:tc>
        <w:tc>
          <w:tcPr>
            <w:tcW w:w="3385" w:type="dxa"/>
            <w:tcBorders>
              <w:top w:val="nil"/>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vytvořit jednotný systém a propojení současných systémů jednotlivých firem</w:t>
            </w:r>
          </w:p>
        </w:tc>
      </w:tr>
      <w:tr w:rsidR="00011652" w:rsidRPr="00011652" w:rsidTr="00011652">
        <w:trPr>
          <w:trHeight w:val="360"/>
          <w:jc w:val="center"/>
        </w:trPr>
        <w:tc>
          <w:tcPr>
            <w:tcW w:w="6641"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center"/>
              <w:rPr>
                <w:b/>
                <w:bCs/>
                <w:color w:val="000000"/>
              </w:rPr>
            </w:pPr>
            <w:r w:rsidRPr="00011652">
              <w:rPr>
                <w:b/>
                <w:bCs/>
                <w:color w:val="000000"/>
              </w:rPr>
              <w:t>VNITROZEMSKÁ VODNÍ PŘEPRAVA</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Legislativa</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GGVSEB</w:t>
            </w:r>
          </w:p>
        </w:tc>
      </w:tr>
      <w:tr w:rsidR="00011652" w:rsidRPr="00011652" w:rsidTr="00011652">
        <w:trPr>
          <w:trHeight w:val="360"/>
          <w:jc w:val="center"/>
        </w:trPr>
        <w:tc>
          <w:tcPr>
            <w:tcW w:w="3256"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Evidence</w:t>
            </w:r>
          </w:p>
        </w:tc>
        <w:tc>
          <w:tcPr>
            <w:tcW w:w="3385"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přepravní dokumenty ze zákona</w:t>
            </w:r>
          </w:p>
        </w:tc>
      </w:tr>
      <w:tr w:rsidR="00011652" w:rsidRPr="00011652" w:rsidTr="00011652">
        <w:trPr>
          <w:trHeight w:val="675"/>
          <w:jc w:val="center"/>
        </w:trPr>
        <w:tc>
          <w:tcPr>
            <w:tcW w:w="3256" w:type="dxa"/>
            <w:vMerge w:val="restart"/>
            <w:tcBorders>
              <w:top w:val="nil"/>
              <w:left w:val="single" w:sz="12" w:space="0" w:color="auto"/>
              <w:bottom w:val="single" w:sz="4" w:space="0" w:color="000000"/>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Telematický systém</w:t>
            </w:r>
          </w:p>
        </w:tc>
        <w:tc>
          <w:tcPr>
            <w:tcW w:w="3385" w:type="dxa"/>
            <w:tcBorders>
              <w:top w:val="nil"/>
              <w:left w:val="nil"/>
              <w:bottom w:val="nil"/>
              <w:right w:val="single" w:sz="12" w:space="0" w:color="auto"/>
            </w:tcBorders>
            <w:shd w:val="clear" w:color="auto" w:fill="auto"/>
            <w:vAlign w:val="bottom"/>
            <w:hideMark/>
          </w:tcPr>
          <w:p w:rsidR="00011652" w:rsidRPr="00011652" w:rsidRDefault="00011652" w:rsidP="00011652">
            <w:pPr>
              <w:spacing w:after="0"/>
              <w:ind w:firstLine="0"/>
              <w:jc w:val="left"/>
              <w:rPr>
                <w:color w:val="000000"/>
              </w:rPr>
            </w:pPr>
            <w:r w:rsidRPr="00011652">
              <w:rPr>
                <w:color w:val="000000"/>
              </w:rPr>
              <w:t>RIS - zkouší se                                IRIS Europe I. a II.</w:t>
            </w:r>
          </w:p>
        </w:tc>
      </w:tr>
      <w:tr w:rsidR="00011652" w:rsidRPr="00011652" w:rsidTr="00011652">
        <w:trPr>
          <w:trHeight w:val="360"/>
          <w:jc w:val="center"/>
        </w:trPr>
        <w:tc>
          <w:tcPr>
            <w:tcW w:w="3256"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single" w:sz="4" w:space="0" w:color="auto"/>
              <w:left w:val="nil"/>
              <w:bottom w:val="nil"/>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2002 - 38 úseků na Rýně</w:t>
            </w:r>
          </w:p>
        </w:tc>
      </w:tr>
      <w:tr w:rsidR="00011652" w:rsidRPr="00011652" w:rsidTr="00011652">
        <w:trPr>
          <w:trHeight w:val="360"/>
          <w:jc w:val="center"/>
        </w:trPr>
        <w:tc>
          <w:tcPr>
            <w:tcW w:w="3256" w:type="dxa"/>
            <w:vMerge w:val="restart"/>
            <w:tcBorders>
              <w:top w:val="nil"/>
              <w:left w:val="single" w:sz="12" w:space="0" w:color="auto"/>
              <w:bottom w:val="single" w:sz="4" w:space="0" w:color="auto"/>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 xml:space="preserve">Telematické aplikace </w:t>
            </w:r>
          </w:p>
        </w:tc>
        <w:tc>
          <w:tcPr>
            <w:tcW w:w="3385" w:type="dxa"/>
            <w:tcBorders>
              <w:top w:val="single" w:sz="4" w:space="0" w:color="auto"/>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ECDIS</w:t>
            </w:r>
          </w:p>
        </w:tc>
      </w:tr>
      <w:tr w:rsidR="00011652" w:rsidRPr="00011652" w:rsidTr="00011652">
        <w:trPr>
          <w:trHeight w:val="315"/>
          <w:jc w:val="center"/>
        </w:trPr>
        <w:tc>
          <w:tcPr>
            <w:tcW w:w="3256" w:type="dxa"/>
            <w:vMerge/>
            <w:tcBorders>
              <w:top w:val="nil"/>
              <w:left w:val="single" w:sz="12" w:space="0" w:color="auto"/>
              <w:bottom w:val="single" w:sz="4" w:space="0" w:color="auto"/>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NIF</w:t>
            </w:r>
          </w:p>
        </w:tc>
      </w:tr>
      <w:tr w:rsidR="00011652" w:rsidRPr="00011652" w:rsidTr="00011652">
        <w:trPr>
          <w:trHeight w:val="315"/>
          <w:jc w:val="center"/>
        </w:trPr>
        <w:tc>
          <w:tcPr>
            <w:tcW w:w="3256" w:type="dxa"/>
            <w:vMerge/>
            <w:tcBorders>
              <w:top w:val="nil"/>
              <w:left w:val="single" w:sz="12" w:space="0" w:color="auto"/>
              <w:bottom w:val="single" w:sz="4" w:space="0" w:color="auto"/>
              <w:right w:val="single" w:sz="4" w:space="0" w:color="auto"/>
            </w:tcBorders>
            <w:vAlign w:val="center"/>
            <w:hideMark/>
          </w:tcPr>
          <w:p w:rsidR="00011652" w:rsidRPr="00011652" w:rsidRDefault="00011652" w:rsidP="00011652">
            <w:pPr>
              <w:spacing w:after="0"/>
              <w:ind w:firstLine="0"/>
              <w:jc w:val="left"/>
              <w:rPr>
                <w:color w:val="000000"/>
              </w:rPr>
            </w:pPr>
          </w:p>
        </w:tc>
        <w:tc>
          <w:tcPr>
            <w:tcW w:w="3385"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ELWIS</w:t>
            </w:r>
          </w:p>
        </w:tc>
      </w:tr>
      <w:tr w:rsidR="00011652" w:rsidRPr="00011652" w:rsidTr="00011652">
        <w:trPr>
          <w:trHeight w:val="315"/>
          <w:jc w:val="center"/>
        </w:trPr>
        <w:tc>
          <w:tcPr>
            <w:tcW w:w="3256" w:type="dxa"/>
            <w:tcBorders>
              <w:top w:val="nil"/>
              <w:left w:val="single" w:sz="12" w:space="0" w:color="auto"/>
              <w:bottom w:val="nil"/>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Projekt</w:t>
            </w:r>
          </w:p>
        </w:tc>
        <w:tc>
          <w:tcPr>
            <w:tcW w:w="3385" w:type="dxa"/>
            <w:tcBorders>
              <w:top w:val="nil"/>
              <w:left w:val="nil"/>
              <w:bottom w:val="nil"/>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IRIS Europe III.</w:t>
            </w:r>
          </w:p>
        </w:tc>
      </w:tr>
      <w:tr w:rsidR="00011652" w:rsidRPr="00011652" w:rsidTr="00691AB0">
        <w:trPr>
          <w:trHeight w:val="330"/>
          <w:jc w:val="center"/>
        </w:trPr>
        <w:tc>
          <w:tcPr>
            <w:tcW w:w="3256"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011652" w:rsidRPr="00011652" w:rsidRDefault="00691AB0" w:rsidP="00691AB0">
            <w:pPr>
              <w:spacing w:after="0"/>
              <w:ind w:firstLine="0"/>
              <w:jc w:val="left"/>
              <w:rPr>
                <w:color w:val="000000"/>
              </w:rPr>
            </w:pPr>
            <w:r>
              <w:rPr>
                <w:color w:val="000000"/>
              </w:rPr>
              <w:t>P</w:t>
            </w:r>
            <w:r w:rsidR="00011652" w:rsidRPr="00011652">
              <w:rPr>
                <w:color w:val="000000"/>
              </w:rPr>
              <w:t>lány rozvoje</w:t>
            </w:r>
          </w:p>
        </w:tc>
        <w:tc>
          <w:tcPr>
            <w:tcW w:w="3385" w:type="dxa"/>
            <w:tcBorders>
              <w:top w:val="single" w:sz="4" w:space="0" w:color="auto"/>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plošné zavedení</w:t>
            </w:r>
          </w:p>
        </w:tc>
      </w:tr>
    </w:tbl>
    <w:p w:rsidR="00011652" w:rsidRDefault="00011652" w:rsidP="00011652">
      <w:pPr>
        <w:rPr>
          <w:rFonts w:eastAsiaTheme="majorEastAsia"/>
        </w:rPr>
      </w:pPr>
    </w:p>
    <w:p w:rsidR="00011652" w:rsidRDefault="00011652">
      <w:pPr>
        <w:spacing w:after="0"/>
        <w:ind w:firstLine="0"/>
        <w:jc w:val="left"/>
        <w:rPr>
          <w:rFonts w:eastAsiaTheme="majorEastAsia"/>
        </w:rPr>
      </w:pPr>
      <w:r>
        <w:rPr>
          <w:rFonts w:eastAsiaTheme="majorEastAsia"/>
        </w:rPr>
        <w:br w:type="page"/>
      </w:r>
    </w:p>
    <w:p w:rsidR="00011652" w:rsidRPr="00F879C3" w:rsidRDefault="00011652" w:rsidP="00011652">
      <w:pPr>
        <w:pStyle w:val="Nadpis3"/>
        <w:rPr>
          <w:rFonts w:ascii="Times New Roman" w:eastAsiaTheme="majorEastAsia" w:hAnsi="Times New Roman"/>
          <w:sz w:val="28"/>
        </w:rPr>
      </w:pPr>
      <w:bookmarkStart w:id="84" w:name="_Toc326741545"/>
      <w:r>
        <w:rPr>
          <w:rFonts w:ascii="Times New Roman" w:eastAsiaTheme="majorEastAsia" w:hAnsi="Times New Roman"/>
          <w:sz w:val="28"/>
        </w:rPr>
        <w:lastRenderedPageBreak/>
        <w:t>Republika Rakousko</w:t>
      </w:r>
      <w:bookmarkEnd w:id="84"/>
      <w:r>
        <w:rPr>
          <w:rFonts w:ascii="Times New Roman" w:eastAsiaTheme="majorEastAsia" w:hAnsi="Times New Roman"/>
          <w:sz w:val="28"/>
        </w:rPr>
        <w:t xml:space="preserve"> </w:t>
      </w:r>
    </w:p>
    <w:tbl>
      <w:tblPr>
        <w:tblW w:w="6420" w:type="dxa"/>
        <w:jc w:val="center"/>
        <w:tblInd w:w="55" w:type="dxa"/>
        <w:tblCellMar>
          <w:left w:w="70" w:type="dxa"/>
          <w:right w:w="70" w:type="dxa"/>
        </w:tblCellMar>
        <w:tblLook w:val="04A0"/>
      </w:tblPr>
      <w:tblGrid>
        <w:gridCol w:w="3163"/>
        <w:gridCol w:w="3257"/>
      </w:tblGrid>
      <w:tr w:rsidR="00011652" w:rsidRPr="00011652" w:rsidTr="00691AB0">
        <w:trPr>
          <w:trHeight w:val="180"/>
          <w:jc w:val="center"/>
        </w:trPr>
        <w:tc>
          <w:tcPr>
            <w:tcW w:w="3163" w:type="dxa"/>
            <w:tcBorders>
              <w:top w:val="nil"/>
              <w:left w:val="nil"/>
              <w:bottom w:val="single" w:sz="12" w:space="0" w:color="auto"/>
              <w:right w:val="nil"/>
            </w:tcBorders>
            <w:shd w:val="clear" w:color="auto" w:fill="auto"/>
            <w:noWrap/>
            <w:vAlign w:val="bottom"/>
            <w:hideMark/>
          </w:tcPr>
          <w:p w:rsidR="00011652" w:rsidRPr="00011652" w:rsidRDefault="00011652" w:rsidP="00011652">
            <w:pPr>
              <w:spacing w:after="0"/>
              <w:ind w:firstLine="0"/>
              <w:jc w:val="left"/>
              <w:rPr>
                <w:color w:val="000000"/>
              </w:rPr>
            </w:pPr>
          </w:p>
        </w:tc>
        <w:tc>
          <w:tcPr>
            <w:tcW w:w="3257" w:type="dxa"/>
            <w:tcBorders>
              <w:top w:val="nil"/>
              <w:left w:val="nil"/>
              <w:bottom w:val="single" w:sz="12" w:space="0" w:color="auto"/>
              <w:right w:val="nil"/>
            </w:tcBorders>
            <w:shd w:val="clear" w:color="auto" w:fill="auto"/>
            <w:noWrap/>
            <w:vAlign w:val="bottom"/>
            <w:hideMark/>
          </w:tcPr>
          <w:p w:rsidR="00011652" w:rsidRPr="00011652" w:rsidRDefault="00011652" w:rsidP="00011652">
            <w:pPr>
              <w:spacing w:after="0"/>
              <w:ind w:firstLine="0"/>
              <w:jc w:val="left"/>
              <w:rPr>
                <w:color w:val="000000"/>
              </w:rPr>
            </w:pPr>
          </w:p>
        </w:tc>
      </w:tr>
      <w:tr w:rsidR="00011652" w:rsidRPr="00011652" w:rsidTr="00691AB0">
        <w:trPr>
          <w:trHeight w:val="37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center"/>
              <w:rPr>
                <w:b/>
                <w:bCs/>
                <w:color w:val="000000"/>
                <w:sz w:val="28"/>
                <w:szCs w:val="28"/>
              </w:rPr>
            </w:pPr>
            <w:r w:rsidRPr="00011652">
              <w:rPr>
                <w:b/>
                <w:bCs/>
                <w:color w:val="000000"/>
                <w:sz w:val="28"/>
                <w:szCs w:val="28"/>
              </w:rPr>
              <w:t>legislativa - obecné předpisy</w:t>
            </w:r>
          </w:p>
        </w:tc>
      </w:tr>
      <w:tr w:rsidR="00011652" w:rsidRPr="00011652"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SchFG - Přepravní zákon pro lodní dopravu</w:t>
            </w:r>
          </w:p>
        </w:tc>
      </w:tr>
      <w:tr w:rsidR="00011652" w:rsidRPr="00011652"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Nařízení o nakládání s radioaktivními odpady </w:t>
            </w:r>
          </w:p>
        </w:tc>
      </w:tr>
      <w:tr w:rsidR="00011652" w:rsidRPr="00011652" w:rsidTr="00691AB0">
        <w:trPr>
          <w:trHeight w:val="37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center"/>
              <w:rPr>
                <w:b/>
                <w:bCs/>
                <w:color w:val="000000"/>
                <w:sz w:val="28"/>
                <w:szCs w:val="28"/>
              </w:rPr>
            </w:pPr>
            <w:r w:rsidRPr="00011652">
              <w:rPr>
                <w:b/>
                <w:bCs/>
                <w:color w:val="000000"/>
                <w:sz w:val="28"/>
                <w:szCs w:val="28"/>
              </w:rPr>
              <w:t>legislativa - aplikace ADR</w:t>
            </w:r>
          </w:p>
        </w:tc>
      </w:tr>
      <w:tr w:rsidR="00011652" w:rsidRPr="00011652"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GGBG - Zákon o přepravě nebezpečných věcí</w:t>
            </w:r>
          </w:p>
        </w:tc>
      </w:tr>
      <w:tr w:rsidR="00011652" w:rsidRPr="00011652" w:rsidTr="00691AB0">
        <w:trPr>
          <w:trHeight w:val="37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center"/>
              <w:rPr>
                <w:b/>
                <w:bCs/>
                <w:color w:val="000000"/>
                <w:sz w:val="28"/>
                <w:szCs w:val="28"/>
              </w:rPr>
            </w:pPr>
            <w:r w:rsidRPr="00011652">
              <w:rPr>
                <w:b/>
                <w:bCs/>
                <w:color w:val="000000"/>
                <w:sz w:val="28"/>
                <w:szCs w:val="28"/>
              </w:rPr>
              <w:t>legislativa - ostatní národní předpisy</w:t>
            </w:r>
          </w:p>
        </w:tc>
      </w:tr>
      <w:tr w:rsidR="00011652" w:rsidRPr="00011652"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KFG - Zákon o motorových vozidlech</w:t>
            </w:r>
          </w:p>
        </w:tc>
      </w:tr>
      <w:tr w:rsidR="00011652" w:rsidRPr="00011652"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EisbG - Zákon o drahách</w:t>
            </w:r>
          </w:p>
        </w:tc>
      </w:tr>
      <w:tr w:rsidR="00011652" w:rsidRPr="00011652" w:rsidTr="00691AB0">
        <w:trPr>
          <w:trHeight w:val="315"/>
          <w:jc w:val="center"/>
        </w:trPr>
        <w:tc>
          <w:tcPr>
            <w:tcW w:w="6420" w:type="dxa"/>
            <w:gridSpan w:val="2"/>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SchFG - Zákon o lodní plavbě</w:t>
            </w:r>
          </w:p>
        </w:tc>
      </w:tr>
      <w:tr w:rsidR="00011652" w:rsidRPr="00011652"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center"/>
              <w:rPr>
                <w:b/>
                <w:bCs/>
                <w:color w:val="000000"/>
              </w:rPr>
            </w:pPr>
            <w:r w:rsidRPr="00011652">
              <w:rPr>
                <w:b/>
                <w:bCs/>
                <w:color w:val="000000"/>
              </w:rPr>
              <w:t>ŽELEZNIČNÍ PŘEPRAVA</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Legislativa</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GGBG, část 5</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přepravní dokumenty ze zákona</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Povolení </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žádost na příslušném úřadě</w:t>
            </w:r>
          </w:p>
        </w:tc>
      </w:tr>
      <w:tr w:rsidR="00011652" w:rsidRPr="00011652"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Telematický systém</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Národní systém</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NE</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011652" w:rsidRPr="00011652" w:rsidRDefault="00011652" w:rsidP="00011652">
            <w:pPr>
              <w:spacing w:after="0"/>
              <w:ind w:firstLineChars="200" w:firstLine="480"/>
              <w:jc w:val="left"/>
              <w:rPr>
                <w:color w:val="000000"/>
              </w:rPr>
            </w:pPr>
            <w:r w:rsidRPr="00011652">
              <w:rPr>
                <w:color w:val="000000"/>
              </w:rPr>
              <w:t>GSM-R</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3 500 km tratí v provozu</w:t>
            </w:r>
          </w:p>
        </w:tc>
      </w:tr>
      <w:tr w:rsidR="00011652" w:rsidRPr="00011652" w:rsidTr="00691AB0">
        <w:trPr>
          <w:trHeight w:val="630"/>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011652" w:rsidRPr="00011652" w:rsidRDefault="00011652" w:rsidP="00011652">
            <w:pPr>
              <w:spacing w:after="0"/>
              <w:ind w:firstLineChars="200" w:firstLine="480"/>
              <w:jc w:val="left"/>
              <w:rPr>
                <w:color w:val="000000"/>
              </w:rPr>
            </w:pPr>
            <w:r w:rsidRPr="00011652">
              <w:rPr>
                <w:color w:val="000000"/>
              </w:rPr>
              <w:t>ETCS</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2001 - Wien - Nickelsdorf, L1, pravidelný provoz</w:t>
            </w:r>
          </w:p>
        </w:tc>
      </w:tr>
      <w:tr w:rsidR="00011652" w:rsidRPr="00011652" w:rsidTr="00691AB0">
        <w:trPr>
          <w:trHeight w:val="1575"/>
          <w:jc w:val="center"/>
        </w:trPr>
        <w:tc>
          <w:tcPr>
            <w:tcW w:w="3163" w:type="dxa"/>
            <w:tcBorders>
              <w:top w:val="nil"/>
              <w:left w:val="single" w:sz="12" w:space="0" w:color="auto"/>
              <w:bottom w:val="single" w:sz="12" w:space="0" w:color="auto"/>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ETCS: 2012 - uvést L2 do pravidelného provozu                  2016 - Wien-Hohenau,                           2019 - Pottendorfer Linie Wien-Wiener Neustadt</w:t>
            </w:r>
          </w:p>
        </w:tc>
      </w:tr>
      <w:tr w:rsidR="00011652" w:rsidRPr="00011652"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center"/>
              <w:rPr>
                <w:b/>
                <w:bCs/>
                <w:color w:val="000000"/>
              </w:rPr>
            </w:pPr>
            <w:r w:rsidRPr="00011652">
              <w:rPr>
                <w:b/>
                <w:bCs/>
                <w:color w:val="000000"/>
              </w:rPr>
              <w:t>SILNIČNÍ PŘEPRAVA</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Legislativa</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GGBG, část 4</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přepravní dokumenty ze zákona</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Národní systém</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NE</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Povolení </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žádost na příslušném úřadě</w:t>
            </w:r>
          </w:p>
        </w:tc>
      </w:tr>
      <w:tr w:rsidR="00011652" w:rsidRPr="00011652" w:rsidTr="00691AB0">
        <w:trPr>
          <w:trHeight w:val="315"/>
          <w:jc w:val="center"/>
        </w:trPr>
        <w:tc>
          <w:tcPr>
            <w:tcW w:w="3163" w:type="dxa"/>
            <w:vMerge w:val="restart"/>
            <w:tcBorders>
              <w:top w:val="nil"/>
              <w:left w:val="single" w:sz="12" w:space="0" w:color="auto"/>
              <w:bottom w:val="single" w:sz="4" w:space="0" w:color="000000"/>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Možnosti telematických aplikací</w:t>
            </w:r>
          </w:p>
        </w:tc>
        <w:tc>
          <w:tcPr>
            <w:tcW w:w="3257"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RFID</w:t>
            </w:r>
          </w:p>
        </w:tc>
      </w:tr>
      <w:tr w:rsidR="00011652" w:rsidRPr="00011652" w:rsidTr="00691AB0">
        <w:trPr>
          <w:trHeight w:val="315"/>
          <w:jc w:val="center"/>
        </w:trPr>
        <w:tc>
          <w:tcPr>
            <w:tcW w:w="3163"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257"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Tracking &amp; Tracing </w:t>
            </w:r>
          </w:p>
        </w:tc>
      </w:tr>
      <w:tr w:rsidR="00011652" w:rsidRPr="00011652" w:rsidTr="00691AB0">
        <w:trPr>
          <w:trHeight w:val="315"/>
          <w:jc w:val="center"/>
        </w:trPr>
        <w:tc>
          <w:tcPr>
            <w:tcW w:w="3163" w:type="dxa"/>
            <w:tcBorders>
              <w:top w:val="nil"/>
              <w:left w:val="single" w:sz="12" w:space="0" w:color="auto"/>
              <w:bottom w:val="nil"/>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Možná budocnoust</w:t>
            </w:r>
          </w:p>
        </w:tc>
        <w:tc>
          <w:tcPr>
            <w:tcW w:w="3257" w:type="dxa"/>
            <w:tcBorders>
              <w:top w:val="nil"/>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systém společnosti KAPSCH</w:t>
            </w:r>
          </w:p>
        </w:tc>
      </w:tr>
      <w:tr w:rsidR="00011652" w:rsidRPr="00011652" w:rsidTr="00691AB0">
        <w:trPr>
          <w:trHeight w:val="315"/>
          <w:jc w:val="center"/>
        </w:trPr>
        <w:tc>
          <w:tcPr>
            <w:tcW w:w="3163"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011652" w:rsidRPr="00011652" w:rsidRDefault="00691AB0" w:rsidP="00691AB0">
            <w:pPr>
              <w:spacing w:after="0"/>
              <w:ind w:firstLine="0"/>
              <w:jc w:val="left"/>
              <w:rPr>
                <w:color w:val="000000"/>
              </w:rPr>
            </w:pPr>
            <w:r>
              <w:rPr>
                <w:color w:val="000000"/>
              </w:rPr>
              <w:t>P</w:t>
            </w:r>
            <w:r w:rsidR="00011652" w:rsidRPr="00011652">
              <w:rPr>
                <w:color w:val="000000"/>
              </w:rPr>
              <w:t>lány rozvoje</w:t>
            </w:r>
          </w:p>
        </w:tc>
        <w:tc>
          <w:tcPr>
            <w:tcW w:w="3257" w:type="dxa"/>
            <w:tcBorders>
              <w:top w:val="nil"/>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snaha vytvořit koncept systému</w:t>
            </w:r>
          </w:p>
        </w:tc>
      </w:tr>
      <w:tr w:rsidR="00011652" w:rsidRPr="00011652"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center"/>
              <w:rPr>
                <w:b/>
                <w:bCs/>
                <w:color w:val="000000"/>
              </w:rPr>
            </w:pPr>
            <w:r w:rsidRPr="00011652">
              <w:rPr>
                <w:b/>
                <w:bCs/>
                <w:color w:val="000000"/>
              </w:rPr>
              <w:t>VNITROZEMSKÁ VODNÍ PŘEPRAVA</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Legislativa</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GGBG, část 6</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přepravní dokumenty ze zákona</w:t>
            </w:r>
          </w:p>
        </w:tc>
      </w:tr>
      <w:tr w:rsidR="00011652" w:rsidRPr="00011652"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Povolení </w:t>
            </w:r>
          </w:p>
        </w:tc>
        <w:tc>
          <w:tcPr>
            <w:tcW w:w="3257" w:type="dxa"/>
            <w:tcBorders>
              <w:top w:val="nil"/>
              <w:left w:val="nil"/>
              <w:bottom w:val="single" w:sz="4"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žádost na příslušném úřadě</w:t>
            </w:r>
          </w:p>
        </w:tc>
      </w:tr>
      <w:tr w:rsidR="00011652" w:rsidRPr="00011652" w:rsidTr="00691AB0">
        <w:trPr>
          <w:trHeight w:val="315"/>
          <w:jc w:val="center"/>
        </w:trPr>
        <w:tc>
          <w:tcPr>
            <w:tcW w:w="3163" w:type="dxa"/>
            <w:vMerge w:val="restart"/>
            <w:tcBorders>
              <w:top w:val="nil"/>
              <w:left w:val="single" w:sz="12" w:space="0" w:color="auto"/>
              <w:bottom w:val="single" w:sz="4" w:space="0" w:color="000000"/>
              <w:right w:val="single" w:sz="4" w:space="0" w:color="auto"/>
            </w:tcBorders>
            <w:shd w:val="clear" w:color="auto" w:fill="auto"/>
            <w:noWrap/>
            <w:vAlign w:val="center"/>
            <w:hideMark/>
          </w:tcPr>
          <w:p w:rsidR="00011652" w:rsidRPr="00011652" w:rsidRDefault="00011652" w:rsidP="00011652">
            <w:pPr>
              <w:spacing w:after="0"/>
              <w:ind w:firstLine="0"/>
              <w:jc w:val="left"/>
              <w:rPr>
                <w:color w:val="000000"/>
              </w:rPr>
            </w:pPr>
            <w:r w:rsidRPr="00011652">
              <w:rPr>
                <w:color w:val="000000"/>
              </w:rPr>
              <w:t>Telematický systém</w:t>
            </w:r>
          </w:p>
        </w:tc>
        <w:tc>
          <w:tcPr>
            <w:tcW w:w="3257" w:type="dxa"/>
            <w:tcBorders>
              <w:top w:val="nil"/>
              <w:left w:val="nil"/>
              <w:bottom w:val="nil"/>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DoRIS</w:t>
            </w:r>
          </w:p>
        </w:tc>
      </w:tr>
      <w:tr w:rsidR="00011652" w:rsidRPr="00011652" w:rsidTr="00691AB0">
        <w:trPr>
          <w:trHeight w:val="315"/>
          <w:jc w:val="center"/>
        </w:trPr>
        <w:tc>
          <w:tcPr>
            <w:tcW w:w="3163" w:type="dxa"/>
            <w:vMerge/>
            <w:tcBorders>
              <w:top w:val="nil"/>
              <w:left w:val="single" w:sz="12" w:space="0" w:color="auto"/>
              <w:bottom w:val="single" w:sz="4" w:space="0" w:color="000000"/>
              <w:right w:val="single" w:sz="4" w:space="0" w:color="auto"/>
            </w:tcBorders>
            <w:vAlign w:val="center"/>
            <w:hideMark/>
          </w:tcPr>
          <w:p w:rsidR="00011652" w:rsidRPr="00011652" w:rsidRDefault="00011652" w:rsidP="00011652">
            <w:pPr>
              <w:spacing w:after="0"/>
              <w:ind w:firstLine="0"/>
              <w:jc w:val="left"/>
              <w:rPr>
                <w:color w:val="000000"/>
              </w:rPr>
            </w:pPr>
          </w:p>
        </w:tc>
        <w:tc>
          <w:tcPr>
            <w:tcW w:w="3257" w:type="dxa"/>
            <w:tcBorders>
              <w:top w:val="single" w:sz="4" w:space="0" w:color="auto"/>
              <w:left w:val="nil"/>
              <w:bottom w:val="single" w:sz="4" w:space="0" w:color="auto"/>
              <w:right w:val="single" w:sz="12" w:space="0" w:color="auto"/>
            </w:tcBorders>
            <w:shd w:val="clear" w:color="auto" w:fill="auto"/>
            <w:noWrap/>
            <w:vAlign w:val="bottom"/>
            <w:hideMark/>
          </w:tcPr>
          <w:p w:rsidR="00011652" w:rsidRPr="00011652" w:rsidRDefault="00011652" w:rsidP="00011652">
            <w:pPr>
              <w:spacing w:after="0"/>
              <w:ind w:firstLine="0"/>
              <w:jc w:val="left"/>
              <w:rPr>
                <w:color w:val="000000"/>
              </w:rPr>
            </w:pPr>
            <w:r w:rsidRPr="00011652">
              <w:rPr>
                <w:color w:val="000000"/>
              </w:rPr>
              <w:t xml:space="preserve">Tracking &amp; Tracing </w:t>
            </w:r>
          </w:p>
        </w:tc>
      </w:tr>
      <w:tr w:rsidR="00011652" w:rsidRPr="00011652" w:rsidTr="00691AB0">
        <w:trPr>
          <w:trHeight w:val="330"/>
          <w:jc w:val="center"/>
        </w:trPr>
        <w:tc>
          <w:tcPr>
            <w:tcW w:w="3163" w:type="dxa"/>
            <w:tcBorders>
              <w:top w:val="nil"/>
              <w:left w:val="single" w:sz="12" w:space="0" w:color="auto"/>
              <w:bottom w:val="single" w:sz="12" w:space="0" w:color="auto"/>
              <w:right w:val="single" w:sz="4" w:space="0" w:color="auto"/>
            </w:tcBorders>
            <w:shd w:val="clear" w:color="auto" w:fill="auto"/>
            <w:noWrap/>
            <w:vAlign w:val="center"/>
            <w:hideMark/>
          </w:tcPr>
          <w:p w:rsidR="00011652" w:rsidRPr="00011652" w:rsidRDefault="00691AB0" w:rsidP="00691AB0">
            <w:pPr>
              <w:spacing w:after="0"/>
              <w:ind w:firstLine="0"/>
              <w:jc w:val="left"/>
              <w:rPr>
                <w:color w:val="000000"/>
              </w:rPr>
            </w:pPr>
            <w:r>
              <w:rPr>
                <w:color w:val="000000"/>
              </w:rPr>
              <w:t>P</w:t>
            </w:r>
            <w:r w:rsidR="00011652" w:rsidRPr="00011652">
              <w:rPr>
                <w:color w:val="000000"/>
              </w:rPr>
              <w:t>lány rozvoje</w:t>
            </w:r>
          </w:p>
        </w:tc>
        <w:tc>
          <w:tcPr>
            <w:tcW w:w="3257" w:type="dxa"/>
            <w:tcBorders>
              <w:top w:val="nil"/>
              <w:left w:val="nil"/>
              <w:bottom w:val="single" w:sz="12" w:space="0" w:color="auto"/>
              <w:right w:val="single" w:sz="12" w:space="0" w:color="auto"/>
            </w:tcBorders>
            <w:shd w:val="clear" w:color="auto" w:fill="auto"/>
            <w:vAlign w:val="center"/>
            <w:hideMark/>
          </w:tcPr>
          <w:p w:rsidR="00011652" w:rsidRPr="00011652" w:rsidRDefault="00011652" w:rsidP="00011652">
            <w:pPr>
              <w:spacing w:after="0"/>
              <w:ind w:firstLine="0"/>
              <w:jc w:val="left"/>
              <w:rPr>
                <w:color w:val="000000"/>
              </w:rPr>
            </w:pPr>
            <w:r w:rsidRPr="00011652">
              <w:rPr>
                <w:color w:val="000000"/>
              </w:rPr>
              <w:t>funkčnost v mezinárodním měřítku</w:t>
            </w:r>
          </w:p>
        </w:tc>
      </w:tr>
    </w:tbl>
    <w:p w:rsidR="00691AB0" w:rsidRDefault="00691AB0" w:rsidP="00691AB0">
      <w:pPr>
        <w:pStyle w:val="Nadpis3"/>
        <w:rPr>
          <w:rFonts w:ascii="Times New Roman" w:eastAsiaTheme="majorEastAsia" w:hAnsi="Times New Roman"/>
          <w:sz w:val="28"/>
        </w:rPr>
      </w:pPr>
      <w:bookmarkStart w:id="85" w:name="_Toc326741546"/>
      <w:r>
        <w:rPr>
          <w:rFonts w:ascii="Times New Roman" w:eastAsiaTheme="majorEastAsia" w:hAnsi="Times New Roman"/>
          <w:sz w:val="28"/>
        </w:rPr>
        <w:lastRenderedPageBreak/>
        <w:t>Polská republika</w:t>
      </w:r>
      <w:bookmarkEnd w:id="85"/>
    </w:p>
    <w:p w:rsidR="00691AB0" w:rsidRPr="00691AB0" w:rsidRDefault="00691AB0" w:rsidP="00691AB0">
      <w:pPr>
        <w:rPr>
          <w:rFonts w:eastAsiaTheme="majorEastAsia"/>
        </w:rPr>
      </w:pPr>
    </w:p>
    <w:tbl>
      <w:tblPr>
        <w:tblW w:w="6420" w:type="dxa"/>
        <w:jc w:val="center"/>
        <w:tblInd w:w="55" w:type="dxa"/>
        <w:tblCellMar>
          <w:left w:w="70" w:type="dxa"/>
          <w:right w:w="70" w:type="dxa"/>
        </w:tblCellMar>
        <w:tblLook w:val="04A0"/>
      </w:tblPr>
      <w:tblGrid>
        <w:gridCol w:w="3163"/>
        <w:gridCol w:w="3257"/>
      </w:tblGrid>
      <w:tr w:rsidR="00691AB0" w:rsidRPr="00691AB0" w:rsidTr="00691AB0">
        <w:trPr>
          <w:trHeight w:val="37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691AB0" w:rsidRPr="00691AB0" w:rsidRDefault="00691AB0" w:rsidP="00691AB0">
            <w:pPr>
              <w:spacing w:after="0"/>
              <w:ind w:firstLine="0"/>
              <w:jc w:val="center"/>
              <w:rPr>
                <w:b/>
                <w:bCs/>
                <w:color w:val="000000"/>
                <w:sz w:val="28"/>
                <w:szCs w:val="28"/>
              </w:rPr>
            </w:pPr>
            <w:r w:rsidRPr="00691AB0">
              <w:rPr>
                <w:b/>
                <w:bCs/>
                <w:color w:val="000000"/>
                <w:sz w:val="28"/>
                <w:szCs w:val="28"/>
              </w:rPr>
              <w:t>legislativa - obecné předpisy</w:t>
            </w:r>
          </w:p>
        </w:tc>
      </w:tr>
      <w:tr w:rsidR="00691AB0" w:rsidRPr="00691AB0" w:rsidTr="00691AB0">
        <w:trPr>
          <w:trHeight w:val="630"/>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jc w:val="left"/>
              <w:rPr>
                <w:color w:val="000000"/>
              </w:rPr>
            </w:pPr>
            <w:r w:rsidRPr="00691AB0">
              <w:rPr>
                <w:color w:val="000000"/>
              </w:rPr>
              <w:t xml:space="preserve">Vyhláška o nebezpečném zboží, jehož silniční přeprava podléha povinnosti nahlášení </w:t>
            </w:r>
          </w:p>
        </w:tc>
      </w:tr>
      <w:tr w:rsidR="00691AB0" w:rsidRPr="00691AB0" w:rsidTr="00691AB0">
        <w:trPr>
          <w:trHeight w:val="630"/>
          <w:jc w:val="center"/>
        </w:trPr>
        <w:tc>
          <w:tcPr>
            <w:tcW w:w="6420" w:type="dxa"/>
            <w:gridSpan w:val="2"/>
            <w:tcBorders>
              <w:top w:val="single" w:sz="4" w:space="0" w:color="auto"/>
              <w:left w:val="single" w:sz="12" w:space="0" w:color="auto"/>
              <w:bottom w:val="nil"/>
              <w:right w:val="single" w:sz="12" w:space="0" w:color="auto"/>
            </w:tcBorders>
            <w:shd w:val="clear" w:color="auto" w:fill="auto"/>
            <w:hideMark/>
          </w:tcPr>
          <w:p w:rsidR="00691AB0" w:rsidRPr="00691AB0" w:rsidRDefault="00691AB0" w:rsidP="00691AB0">
            <w:pPr>
              <w:spacing w:after="0"/>
              <w:ind w:firstLine="0"/>
              <w:jc w:val="left"/>
              <w:rPr>
                <w:color w:val="000000"/>
              </w:rPr>
            </w:pPr>
            <w:r w:rsidRPr="00691AB0">
              <w:rPr>
                <w:color w:val="000000"/>
              </w:rPr>
              <w:t>Vyhláška o změně vyhlášky o přizpůsobení vozidel k přepravě některých nebezpečných věcí</w:t>
            </w:r>
          </w:p>
        </w:tc>
      </w:tr>
      <w:tr w:rsidR="00691AB0" w:rsidRPr="00691AB0" w:rsidTr="00691AB0">
        <w:trPr>
          <w:trHeight w:val="630"/>
          <w:jc w:val="center"/>
        </w:trPr>
        <w:tc>
          <w:tcPr>
            <w:tcW w:w="6420" w:type="dxa"/>
            <w:gridSpan w:val="2"/>
            <w:tcBorders>
              <w:top w:val="dashed" w:sz="8"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jc w:val="left"/>
              <w:rPr>
                <w:color w:val="000000"/>
              </w:rPr>
            </w:pPr>
            <w:r w:rsidRPr="00691AB0">
              <w:rPr>
                <w:color w:val="000000"/>
              </w:rPr>
              <w:t xml:space="preserve">Vyhláška o předávání informací majitelem plavidla převážejícího nebezpečné nebo znečišťující zboží </w:t>
            </w:r>
          </w:p>
        </w:tc>
      </w:tr>
      <w:tr w:rsidR="00691AB0" w:rsidRPr="00691AB0" w:rsidTr="00691AB0">
        <w:trPr>
          <w:trHeight w:val="630"/>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rPr>
                <w:color w:val="000000"/>
              </w:rPr>
            </w:pPr>
            <w:r w:rsidRPr="00691AB0">
              <w:rPr>
                <w:color w:val="000000"/>
              </w:rPr>
              <w:t>Vyhláška o přepravě nebezpečných věcí s využitím vnitrozemské lodní dopravy</w:t>
            </w:r>
          </w:p>
        </w:tc>
      </w:tr>
      <w:tr w:rsidR="00691AB0" w:rsidRPr="00691AB0" w:rsidTr="00691AB0">
        <w:trPr>
          <w:trHeight w:val="630"/>
          <w:jc w:val="center"/>
        </w:trPr>
        <w:tc>
          <w:tcPr>
            <w:tcW w:w="6420" w:type="dxa"/>
            <w:gridSpan w:val="2"/>
            <w:tcBorders>
              <w:top w:val="single" w:sz="4" w:space="0" w:color="auto"/>
              <w:left w:val="single" w:sz="12" w:space="0" w:color="auto"/>
              <w:bottom w:val="nil"/>
              <w:right w:val="single" w:sz="12" w:space="0" w:color="auto"/>
            </w:tcBorders>
            <w:shd w:val="clear" w:color="auto" w:fill="auto"/>
            <w:hideMark/>
          </w:tcPr>
          <w:p w:rsidR="00691AB0" w:rsidRPr="00691AB0" w:rsidRDefault="00691AB0" w:rsidP="00691AB0">
            <w:pPr>
              <w:spacing w:after="0"/>
              <w:ind w:firstLine="0"/>
              <w:rPr>
                <w:color w:val="000000"/>
              </w:rPr>
            </w:pPr>
            <w:r w:rsidRPr="00691AB0">
              <w:rPr>
                <w:color w:val="000000"/>
              </w:rPr>
              <w:t xml:space="preserve">Vyhláška o osvědčení bezpečnostního poradce pro přepravu nebezpečných věcí s využitím vnitrozemské lodní dopravy </w:t>
            </w:r>
          </w:p>
        </w:tc>
      </w:tr>
      <w:tr w:rsidR="00691AB0" w:rsidRPr="00691AB0" w:rsidTr="00691AB0">
        <w:trPr>
          <w:trHeight w:val="630"/>
          <w:jc w:val="center"/>
        </w:trPr>
        <w:tc>
          <w:tcPr>
            <w:tcW w:w="6420" w:type="dxa"/>
            <w:gridSpan w:val="2"/>
            <w:tcBorders>
              <w:top w:val="dashed" w:sz="8"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rPr>
                <w:color w:val="000000"/>
              </w:rPr>
            </w:pPr>
            <w:r w:rsidRPr="00691AB0">
              <w:rPr>
                <w:color w:val="000000"/>
              </w:rPr>
              <w:t>Vyhláška o podrobných požadavcích vůči subjektům vedoucím školení a rozsahů těchto školení</w:t>
            </w:r>
          </w:p>
        </w:tc>
      </w:tr>
      <w:tr w:rsidR="00691AB0" w:rsidRPr="00691AB0" w:rsidTr="00691AB0">
        <w:trPr>
          <w:trHeight w:val="630"/>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rPr>
                <w:color w:val="000000"/>
              </w:rPr>
            </w:pPr>
            <w:r w:rsidRPr="00691AB0">
              <w:rPr>
                <w:color w:val="000000"/>
              </w:rPr>
              <w:t>Vyhláška o vzoru osvědčení bezpečnostního poradce pro železniční dopravu nebezpečných věcí</w:t>
            </w:r>
          </w:p>
        </w:tc>
      </w:tr>
      <w:tr w:rsidR="00691AB0" w:rsidRPr="00691AB0" w:rsidTr="00691AB0">
        <w:trPr>
          <w:trHeight w:val="630"/>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rPr>
                <w:color w:val="000000"/>
              </w:rPr>
            </w:pPr>
            <w:r w:rsidRPr="00691AB0">
              <w:rPr>
                <w:color w:val="000000"/>
              </w:rPr>
              <w:t>Vyhláška o vzoru formuláře roční zprávy o činnostech týkajících se přepravy nebezpečných věcí a způsobu jeho vyplňování</w:t>
            </w:r>
          </w:p>
        </w:tc>
      </w:tr>
      <w:tr w:rsidR="00691AB0" w:rsidRPr="00691AB0"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hideMark/>
          </w:tcPr>
          <w:p w:rsidR="00691AB0" w:rsidRPr="00691AB0" w:rsidRDefault="00691AB0" w:rsidP="00691AB0">
            <w:pPr>
              <w:spacing w:after="0"/>
              <w:ind w:firstLine="0"/>
              <w:rPr>
                <w:color w:val="000000"/>
              </w:rPr>
            </w:pPr>
            <w:r w:rsidRPr="00691AB0">
              <w:rPr>
                <w:color w:val="000000"/>
              </w:rPr>
              <w:t>Vyhláška o přepravitelných tlakových zařízeních</w:t>
            </w:r>
          </w:p>
        </w:tc>
      </w:tr>
      <w:tr w:rsidR="00691AB0" w:rsidRPr="00691AB0" w:rsidTr="00691AB0">
        <w:trPr>
          <w:trHeight w:val="37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center"/>
              <w:rPr>
                <w:b/>
                <w:bCs/>
                <w:color w:val="000000"/>
                <w:sz w:val="28"/>
                <w:szCs w:val="28"/>
              </w:rPr>
            </w:pPr>
            <w:r w:rsidRPr="00691AB0">
              <w:rPr>
                <w:b/>
                <w:bCs/>
                <w:color w:val="000000"/>
                <w:sz w:val="28"/>
                <w:szCs w:val="28"/>
              </w:rPr>
              <w:t>legislativa - aplikace ADR</w:t>
            </w:r>
          </w:p>
        </w:tc>
      </w:tr>
      <w:tr w:rsidR="00691AB0" w:rsidRPr="00691AB0" w:rsidTr="00691AB0">
        <w:trPr>
          <w:trHeight w:val="315"/>
          <w:jc w:val="center"/>
        </w:trPr>
        <w:tc>
          <w:tcPr>
            <w:tcW w:w="6420" w:type="dxa"/>
            <w:gridSpan w:val="2"/>
            <w:tcBorders>
              <w:top w:val="single" w:sz="4" w:space="0" w:color="auto"/>
              <w:left w:val="single" w:sz="12" w:space="0" w:color="auto"/>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Zákon o přepravě nebezpečného zboží</w:t>
            </w:r>
          </w:p>
        </w:tc>
      </w:tr>
      <w:tr w:rsidR="00691AB0" w:rsidRPr="00691AB0"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b/>
                <w:bCs/>
                <w:color w:val="000000"/>
              </w:rPr>
            </w:pPr>
            <w:r w:rsidRPr="00691AB0">
              <w:rPr>
                <w:b/>
                <w:bCs/>
                <w:color w:val="000000"/>
              </w:rPr>
              <w:t>ŽELEZNIČNÍ PŘEPRAVA</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Legislativa</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část III (viz výše)</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přepravní dokumenty ze zákona</w:t>
            </w:r>
          </w:p>
        </w:tc>
      </w:tr>
      <w:tr w:rsidR="00691AB0" w:rsidRPr="00691AB0"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Telematický systém</w:t>
            </w:r>
          </w:p>
        </w:tc>
      </w:tr>
      <w:tr w:rsidR="00691AB0" w:rsidRPr="00691AB0" w:rsidTr="00691AB0">
        <w:trPr>
          <w:trHeight w:val="630"/>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691AB0" w:rsidRPr="00691AB0" w:rsidRDefault="00691AB0" w:rsidP="00691AB0">
            <w:pPr>
              <w:spacing w:after="0"/>
              <w:ind w:firstLineChars="200" w:firstLine="480"/>
              <w:jc w:val="left"/>
              <w:rPr>
                <w:color w:val="000000"/>
              </w:rPr>
            </w:pPr>
            <w:r w:rsidRPr="00691AB0">
              <w:rPr>
                <w:color w:val="000000"/>
              </w:rPr>
              <w:t>GSM-R</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Legnica - Bielawa Dolna (pilotně), počet km - 80</w:t>
            </w:r>
          </w:p>
        </w:tc>
      </w:tr>
      <w:tr w:rsidR="00691AB0" w:rsidRPr="00691AB0" w:rsidTr="00691AB0">
        <w:trPr>
          <w:trHeight w:val="1260"/>
          <w:jc w:val="center"/>
        </w:trPr>
        <w:tc>
          <w:tcPr>
            <w:tcW w:w="3163" w:type="dxa"/>
            <w:tcBorders>
              <w:top w:val="nil"/>
              <w:left w:val="single" w:sz="12" w:space="0" w:color="auto"/>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Chars="200" w:firstLine="480"/>
              <w:jc w:val="left"/>
              <w:rPr>
                <w:color w:val="000000"/>
              </w:rPr>
            </w:pPr>
            <w:r w:rsidRPr="00691AB0">
              <w:rPr>
                <w:color w:val="000000"/>
              </w:rPr>
              <w:t xml:space="preserve">ETCS </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Grodzisk Mazowiecki - (CMK) - Zawiercie (pilotně, brzké ukončení testu, L1),                       počet km - 254</w:t>
            </w:r>
          </w:p>
        </w:tc>
      </w:tr>
      <w:tr w:rsidR="00691AB0" w:rsidRPr="00691AB0" w:rsidTr="00691AB0">
        <w:trPr>
          <w:trHeight w:val="945"/>
          <w:jc w:val="center"/>
        </w:trPr>
        <w:tc>
          <w:tcPr>
            <w:tcW w:w="3163" w:type="dxa"/>
            <w:tcBorders>
              <w:top w:val="nil"/>
              <w:left w:val="single" w:sz="12" w:space="0" w:color="auto"/>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Chars="200" w:firstLine="480"/>
              <w:jc w:val="left"/>
              <w:rPr>
                <w:color w:val="000000"/>
              </w:rPr>
            </w:pPr>
            <w:r w:rsidRPr="00691AB0">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15 000 km GSM-R (~100% sítě), 5 000 km ETCS (~33%), konkrétněji nezjištěno</w:t>
            </w:r>
          </w:p>
        </w:tc>
      </w:tr>
      <w:tr w:rsidR="00691AB0" w:rsidRPr="00691AB0"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b/>
                <w:bCs/>
                <w:color w:val="000000"/>
              </w:rPr>
            </w:pPr>
            <w:r w:rsidRPr="00691AB0">
              <w:rPr>
                <w:b/>
                <w:bCs/>
                <w:color w:val="000000"/>
              </w:rPr>
              <w:t>SILNIČNÍ PŘEPRAVA</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Legislativa</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část I (viz výše)</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přepravní dokumenty ze zákona</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Národní systém</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NE</w:t>
            </w:r>
          </w:p>
        </w:tc>
      </w:tr>
      <w:tr w:rsidR="00691AB0" w:rsidRPr="00691AB0" w:rsidTr="00691AB0">
        <w:trPr>
          <w:trHeight w:val="315"/>
          <w:jc w:val="center"/>
        </w:trPr>
        <w:tc>
          <w:tcPr>
            <w:tcW w:w="3163" w:type="dxa"/>
            <w:tcBorders>
              <w:top w:val="nil"/>
              <w:left w:val="single" w:sz="12" w:space="0" w:color="auto"/>
              <w:bottom w:val="nil"/>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Možnosti telematických aplikací</w:t>
            </w:r>
          </w:p>
        </w:tc>
        <w:tc>
          <w:tcPr>
            <w:tcW w:w="3257" w:type="dxa"/>
            <w:tcBorders>
              <w:top w:val="nil"/>
              <w:left w:val="nil"/>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nezjištěno</w:t>
            </w:r>
          </w:p>
        </w:tc>
      </w:tr>
      <w:tr w:rsidR="00691AB0" w:rsidRPr="00691AB0" w:rsidTr="00691AB0">
        <w:trPr>
          <w:trHeight w:val="315"/>
          <w:jc w:val="center"/>
        </w:trPr>
        <w:tc>
          <w:tcPr>
            <w:tcW w:w="3163"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nezjištěno</w:t>
            </w:r>
          </w:p>
        </w:tc>
      </w:tr>
      <w:tr w:rsidR="00691AB0" w:rsidRPr="00691AB0"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b/>
                <w:bCs/>
                <w:color w:val="000000"/>
              </w:rPr>
            </w:pPr>
            <w:r w:rsidRPr="00691AB0">
              <w:rPr>
                <w:b/>
                <w:bCs/>
                <w:color w:val="000000"/>
              </w:rPr>
              <w:lastRenderedPageBreak/>
              <w:t>VNITROZEMSKÁ VODNÍ PŘEPRAVA</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Legislativa</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část II (viz výše)</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přepravní dokumenty ze zákona</w:t>
            </w:r>
          </w:p>
        </w:tc>
      </w:tr>
      <w:tr w:rsidR="00691AB0" w:rsidRPr="00691AB0" w:rsidTr="00691AB0">
        <w:trPr>
          <w:trHeight w:val="315"/>
          <w:jc w:val="center"/>
        </w:trPr>
        <w:tc>
          <w:tcPr>
            <w:tcW w:w="3163" w:type="dxa"/>
            <w:tcBorders>
              <w:top w:val="nil"/>
              <w:left w:val="single" w:sz="12" w:space="0" w:color="auto"/>
              <w:bottom w:val="nil"/>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Telematický systém</w:t>
            </w:r>
          </w:p>
        </w:tc>
        <w:tc>
          <w:tcPr>
            <w:tcW w:w="3257" w:type="dxa"/>
            <w:tcBorders>
              <w:top w:val="nil"/>
              <w:left w:val="nil"/>
              <w:bottom w:val="nil"/>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RIS</w:t>
            </w:r>
          </w:p>
        </w:tc>
      </w:tr>
      <w:tr w:rsidR="00691AB0" w:rsidRPr="00691AB0" w:rsidTr="00691AB0">
        <w:trPr>
          <w:trHeight w:val="945"/>
          <w:jc w:val="center"/>
        </w:trPr>
        <w:tc>
          <w:tcPr>
            <w:tcW w:w="3163"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Možnosti telematických aplikací</w:t>
            </w:r>
          </w:p>
        </w:tc>
        <w:tc>
          <w:tcPr>
            <w:tcW w:w="3257" w:type="dxa"/>
            <w:tcBorders>
              <w:top w:val="single" w:sz="4" w:space="0" w:color="auto"/>
              <w:left w:val="nil"/>
              <w:bottom w:val="single" w:sz="4" w:space="0" w:color="auto"/>
              <w:right w:val="single" w:sz="12" w:space="0" w:color="auto"/>
            </w:tcBorders>
            <w:shd w:val="clear" w:color="auto" w:fill="auto"/>
            <w:vAlign w:val="bottom"/>
            <w:hideMark/>
          </w:tcPr>
          <w:p w:rsidR="00691AB0" w:rsidRPr="00691AB0" w:rsidRDefault="00691AB0" w:rsidP="00691AB0">
            <w:pPr>
              <w:spacing w:after="0"/>
              <w:ind w:firstLine="0"/>
              <w:jc w:val="left"/>
              <w:rPr>
                <w:color w:val="000000"/>
              </w:rPr>
            </w:pPr>
            <w:r w:rsidRPr="00691AB0">
              <w:rPr>
                <w:color w:val="000000"/>
              </w:rPr>
              <w:t>nezjištěno, současný stav - konec návrhových prací, počátek implementace</w:t>
            </w:r>
          </w:p>
        </w:tc>
      </w:tr>
      <w:tr w:rsidR="00691AB0" w:rsidRPr="00691AB0" w:rsidTr="00691AB0">
        <w:trPr>
          <w:trHeight w:val="645"/>
          <w:jc w:val="center"/>
        </w:trPr>
        <w:tc>
          <w:tcPr>
            <w:tcW w:w="3163" w:type="dxa"/>
            <w:tcBorders>
              <w:top w:val="nil"/>
              <w:left w:val="single" w:sz="12" w:space="0" w:color="auto"/>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do 2013 97,3 km (dolní Odra), prodloužení v úseku Odra - Wisła</w:t>
            </w:r>
          </w:p>
        </w:tc>
      </w:tr>
    </w:tbl>
    <w:p w:rsidR="00691AB0" w:rsidRDefault="00691AB0" w:rsidP="00011652">
      <w:pPr>
        <w:rPr>
          <w:rFonts w:eastAsiaTheme="majorEastAsia"/>
        </w:rPr>
      </w:pPr>
    </w:p>
    <w:p w:rsidR="00691AB0" w:rsidRDefault="00691AB0">
      <w:pPr>
        <w:spacing w:after="0"/>
        <w:ind w:firstLine="0"/>
        <w:jc w:val="left"/>
        <w:rPr>
          <w:rFonts w:eastAsiaTheme="majorEastAsia"/>
        </w:rPr>
      </w:pPr>
      <w:r>
        <w:rPr>
          <w:rFonts w:eastAsiaTheme="majorEastAsia"/>
        </w:rPr>
        <w:br w:type="page"/>
      </w:r>
    </w:p>
    <w:p w:rsidR="00691AB0" w:rsidRDefault="00691AB0" w:rsidP="00691AB0">
      <w:pPr>
        <w:pStyle w:val="Nadpis3"/>
        <w:rPr>
          <w:rFonts w:ascii="Times New Roman" w:eastAsiaTheme="majorEastAsia" w:hAnsi="Times New Roman"/>
          <w:sz w:val="28"/>
        </w:rPr>
      </w:pPr>
      <w:bookmarkStart w:id="86" w:name="_Toc326741547"/>
      <w:r>
        <w:rPr>
          <w:rFonts w:ascii="Times New Roman" w:eastAsiaTheme="majorEastAsia" w:hAnsi="Times New Roman"/>
          <w:sz w:val="28"/>
        </w:rPr>
        <w:lastRenderedPageBreak/>
        <w:t>Slovenská republika</w:t>
      </w:r>
      <w:bookmarkEnd w:id="86"/>
    </w:p>
    <w:tbl>
      <w:tblPr>
        <w:tblW w:w="6420" w:type="dxa"/>
        <w:jc w:val="center"/>
        <w:tblInd w:w="55" w:type="dxa"/>
        <w:tblCellMar>
          <w:left w:w="70" w:type="dxa"/>
          <w:right w:w="70" w:type="dxa"/>
        </w:tblCellMar>
        <w:tblLook w:val="04A0"/>
      </w:tblPr>
      <w:tblGrid>
        <w:gridCol w:w="3163"/>
        <w:gridCol w:w="3257"/>
      </w:tblGrid>
      <w:tr w:rsidR="00691AB0" w:rsidRPr="00691AB0" w:rsidTr="00691AB0">
        <w:trPr>
          <w:trHeight w:val="37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691AB0" w:rsidRPr="00691AB0" w:rsidRDefault="00691AB0" w:rsidP="00691AB0">
            <w:pPr>
              <w:spacing w:after="0"/>
              <w:ind w:firstLine="0"/>
              <w:jc w:val="center"/>
              <w:rPr>
                <w:b/>
                <w:bCs/>
                <w:color w:val="000000"/>
                <w:sz w:val="28"/>
                <w:szCs w:val="28"/>
              </w:rPr>
            </w:pPr>
            <w:r w:rsidRPr="00691AB0">
              <w:rPr>
                <w:b/>
                <w:bCs/>
                <w:color w:val="000000"/>
                <w:sz w:val="28"/>
                <w:szCs w:val="28"/>
              </w:rPr>
              <w:t>legislativa - obecné předpisy</w:t>
            </w:r>
          </w:p>
        </w:tc>
      </w:tr>
      <w:tr w:rsidR="00691AB0" w:rsidRPr="00691AB0" w:rsidTr="00691AB0">
        <w:trPr>
          <w:trHeight w:val="133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Zákony vztahující se k jednotlivým druhům dopravy přejímají Evropskou směrnici: Directive 2008/68/EC of the European parliament and of the Council of 24 September 2008 on the inland transport of dangerous goods</w:t>
            </w:r>
          </w:p>
        </w:tc>
      </w:tr>
      <w:tr w:rsidR="00691AB0" w:rsidRPr="00691AB0" w:rsidTr="00691AB0">
        <w:trPr>
          <w:trHeight w:val="37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center"/>
              <w:rPr>
                <w:b/>
                <w:bCs/>
                <w:color w:val="000000"/>
                <w:sz w:val="28"/>
                <w:szCs w:val="28"/>
              </w:rPr>
            </w:pPr>
            <w:r w:rsidRPr="00691AB0">
              <w:rPr>
                <w:b/>
                <w:bCs/>
                <w:color w:val="000000"/>
                <w:sz w:val="28"/>
                <w:szCs w:val="28"/>
              </w:rPr>
              <w:t>legislativa - aplikace ADR</w:t>
            </w:r>
          </w:p>
        </w:tc>
      </w:tr>
      <w:tr w:rsidR="00691AB0" w:rsidRPr="00691AB0" w:rsidTr="00691AB0">
        <w:trPr>
          <w:trHeight w:val="315"/>
          <w:jc w:val="center"/>
        </w:trPr>
        <w:tc>
          <w:tcPr>
            <w:tcW w:w="6420" w:type="dxa"/>
            <w:gridSpan w:val="2"/>
            <w:tcBorders>
              <w:top w:val="single" w:sz="4" w:space="0" w:color="auto"/>
              <w:left w:val="single" w:sz="12" w:space="0" w:color="auto"/>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Zákon 56/2012 Z. z.- Zákon o cestnej doprave</w:t>
            </w:r>
          </w:p>
        </w:tc>
      </w:tr>
      <w:tr w:rsidR="00691AB0" w:rsidRPr="00691AB0"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b/>
                <w:bCs/>
                <w:color w:val="000000"/>
              </w:rPr>
            </w:pPr>
            <w:r w:rsidRPr="00691AB0">
              <w:rPr>
                <w:b/>
                <w:bCs/>
                <w:color w:val="000000"/>
              </w:rPr>
              <w:t>ŽELEZNIČNÍ PŘEPRAVA</w:t>
            </w:r>
          </w:p>
        </w:tc>
      </w:tr>
      <w:tr w:rsidR="00691AB0" w:rsidRPr="00691AB0" w:rsidTr="00691AB0">
        <w:trPr>
          <w:trHeight w:val="630"/>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Legislativa</w:t>
            </w:r>
          </w:p>
        </w:tc>
        <w:tc>
          <w:tcPr>
            <w:tcW w:w="3257" w:type="dxa"/>
            <w:tcBorders>
              <w:top w:val="nil"/>
              <w:left w:val="nil"/>
              <w:bottom w:val="single" w:sz="4" w:space="0" w:color="auto"/>
              <w:right w:val="single" w:sz="12" w:space="0" w:color="auto"/>
            </w:tcBorders>
            <w:shd w:val="clear" w:color="auto" w:fill="auto"/>
            <w:vAlign w:val="bottom"/>
            <w:hideMark/>
          </w:tcPr>
          <w:p w:rsidR="00691AB0" w:rsidRPr="00691AB0" w:rsidRDefault="00691AB0" w:rsidP="00691AB0">
            <w:pPr>
              <w:spacing w:after="0"/>
              <w:ind w:firstLine="0"/>
              <w:jc w:val="left"/>
              <w:rPr>
                <w:color w:val="000000"/>
              </w:rPr>
            </w:pPr>
            <w:r w:rsidRPr="00691AB0">
              <w:rPr>
                <w:color w:val="000000"/>
              </w:rPr>
              <w:t>Zákon č. 514/2009  Z. z. o doprave na dráhach</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přepravní dokumenty ze zákona</w:t>
            </w:r>
          </w:p>
        </w:tc>
      </w:tr>
      <w:tr w:rsidR="00691AB0" w:rsidRPr="00691AB0" w:rsidTr="00691AB0">
        <w:trPr>
          <w:trHeight w:val="315"/>
          <w:jc w:val="center"/>
        </w:trPr>
        <w:tc>
          <w:tcPr>
            <w:tcW w:w="6420" w:type="dxa"/>
            <w:gridSpan w:val="2"/>
            <w:tcBorders>
              <w:top w:val="single" w:sz="4"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Telematický systém</w:t>
            </w:r>
          </w:p>
        </w:tc>
      </w:tr>
      <w:tr w:rsidR="00691AB0" w:rsidRPr="00691AB0" w:rsidTr="00691AB0">
        <w:trPr>
          <w:trHeight w:val="1380"/>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691AB0" w:rsidRPr="00691AB0" w:rsidRDefault="00691AB0" w:rsidP="00691AB0">
            <w:pPr>
              <w:spacing w:after="0"/>
              <w:ind w:firstLineChars="200" w:firstLine="480"/>
              <w:jc w:val="left"/>
              <w:rPr>
                <w:color w:val="000000"/>
              </w:rPr>
            </w:pPr>
            <w:r w:rsidRPr="00691AB0">
              <w:rPr>
                <w:color w:val="000000"/>
              </w:rPr>
              <w:t>GSM-R</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počet km: 95 - Bratislava-Nové Mesto nad Váhom v provozu, Bratislava - Žilina - Čadca - štátna hranica SR/ČR ve výstavbě</w:t>
            </w:r>
          </w:p>
        </w:tc>
      </w:tr>
      <w:tr w:rsidR="00691AB0" w:rsidRPr="00691AB0" w:rsidTr="00691AB0">
        <w:trPr>
          <w:trHeight w:val="630"/>
          <w:jc w:val="center"/>
        </w:trPr>
        <w:tc>
          <w:tcPr>
            <w:tcW w:w="3163" w:type="dxa"/>
            <w:tcBorders>
              <w:top w:val="nil"/>
              <w:left w:val="single" w:sz="12" w:space="0" w:color="auto"/>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Chars="200" w:firstLine="480"/>
              <w:jc w:val="left"/>
              <w:rPr>
                <w:color w:val="000000"/>
              </w:rPr>
            </w:pPr>
            <w:r w:rsidRPr="00691AB0">
              <w:rPr>
                <w:color w:val="000000"/>
              </w:rPr>
              <w:t xml:space="preserve">ETCS </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zkouší se (Bratislava-Nové Mesto nad Váhom, L1)</w:t>
            </w:r>
          </w:p>
        </w:tc>
      </w:tr>
      <w:tr w:rsidR="00691AB0" w:rsidRPr="00691AB0" w:rsidTr="00691AB0">
        <w:trPr>
          <w:trHeight w:val="945"/>
          <w:jc w:val="center"/>
        </w:trPr>
        <w:tc>
          <w:tcPr>
            <w:tcW w:w="3163" w:type="dxa"/>
            <w:tcBorders>
              <w:top w:val="nil"/>
              <w:left w:val="single" w:sz="12" w:space="0" w:color="auto"/>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Bratislava - Žilina - Čadca - štátna hranica SR/ČR, ostatní tratě bez plánů</w:t>
            </w:r>
          </w:p>
        </w:tc>
      </w:tr>
      <w:tr w:rsidR="00691AB0" w:rsidRPr="00691AB0"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b/>
                <w:bCs/>
                <w:color w:val="000000"/>
              </w:rPr>
            </w:pPr>
            <w:r w:rsidRPr="00691AB0">
              <w:rPr>
                <w:b/>
                <w:bCs/>
                <w:color w:val="000000"/>
              </w:rPr>
              <w:t>SILNIČNÍ PŘEPRAVA</w:t>
            </w:r>
          </w:p>
        </w:tc>
      </w:tr>
      <w:tr w:rsidR="00691AB0" w:rsidRPr="00691AB0" w:rsidTr="00691AB0">
        <w:trPr>
          <w:trHeight w:val="630"/>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Legislativa</w:t>
            </w:r>
          </w:p>
        </w:tc>
        <w:tc>
          <w:tcPr>
            <w:tcW w:w="3257" w:type="dxa"/>
            <w:tcBorders>
              <w:top w:val="nil"/>
              <w:left w:val="nil"/>
              <w:bottom w:val="single" w:sz="4" w:space="0" w:color="auto"/>
              <w:right w:val="single" w:sz="12" w:space="0" w:color="auto"/>
            </w:tcBorders>
            <w:shd w:val="clear" w:color="auto" w:fill="auto"/>
            <w:vAlign w:val="bottom"/>
            <w:hideMark/>
          </w:tcPr>
          <w:p w:rsidR="00691AB0" w:rsidRPr="00691AB0" w:rsidRDefault="00691AB0" w:rsidP="00691AB0">
            <w:pPr>
              <w:spacing w:after="0"/>
              <w:ind w:firstLine="0"/>
              <w:jc w:val="left"/>
              <w:rPr>
                <w:color w:val="000000"/>
              </w:rPr>
            </w:pPr>
            <w:r w:rsidRPr="00691AB0">
              <w:rPr>
                <w:color w:val="000000"/>
              </w:rPr>
              <w:t>Zákon 56/2012 Z. z.- Zákon o cestnej doprave</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žádná</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Národní systém</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NE</w:t>
            </w:r>
          </w:p>
        </w:tc>
      </w:tr>
      <w:tr w:rsidR="00691AB0" w:rsidRPr="00691AB0" w:rsidTr="00691AB0">
        <w:trPr>
          <w:trHeight w:val="315"/>
          <w:jc w:val="center"/>
        </w:trPr>
        <w:tc>
          <w:tcPr>
            <w:tcW w:w="3163" w:type="dxa"/>
            <w:vMerge w:val="restart"/>
            <w:tcBorders>
              <w:top w:val="nil"/>
              <w:left w:val="single" w:sz="12" w:space="0" w:color="auto"/>
              <w:bottom w:val="single" w:sz="4" w:space="0" w:color="000000"/>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Možnosti telematických aplikací</w:t>
            </w:r>
          </w:p>
        </w:tc>
        <w:tc>
          <w:tcPr>
            <w:tcW w:w="3257" w:type="dxa"/>
            <w:tcBorders>
              <w:top w:val="nil"/>
              <w:left w:val="nil"/>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RFID</w:t>
            </w:r>
          </w:p>
        </w:tc>
      </w:tr>
      <w:tr w:rsidR="00691AB0" w:rsidRPr="00691AB0" w:rsidTr="00691AB0">
        <w:trPr>
          <w:trHeight w:val="315"/>
          <w:jc w:val="center"/>
        </w:trPr>
        <w:tc>
          <w:tcPr>
            <w:tcW w:w="3163" w:type="dxa"/>
            <w:vMerge/>
            <w:tcBorders>
              <w:top w:val="nil"/>
              <w:left w:val="single" w:sz="12" w:space="0" w:color="auto"/>
              <w:bottom w:val="single" w:sz="4" w:space="0" w:color="000000"/>
              <w:right w:val="single" w:sz="4" w:space="0" w:color="auto"/>
            </w:tcBorders>
            <w:vAlign w:val="center"/>
            <w:hideMark/>
          </w:tcPr>
          <w:p w:rsidR="00691AB0" w:rsidRPr="00691AB0" w:rsidRDefault="00691AB0" w:rsidP="00691AB0">
            <w:pPr>
              <w:spacing w:after="0"/>
              <w:ind w:firstLine="0"/>
              <w:jc w:val="left"/>
              <w:rPr>
                <w:color w:val="000000"/>
              </w:rPr>
            </w:pPr>
          </w:p>
        </w:tc>
        <w:tc>
          <w:tcPr>
            <w:tcW w:w="3257" w:type="dxa"/>
            <w:tcBorders>
              <w:top w:val="nil"/>
              <w:left w:val="nil"/>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 xml:space="preserve">Tracking &amp; Tracing </w:t>
            </w:r>
          </w:p>
        </w:tc>
      </w:tr>
      <w:tr w:rsidR="00691AB0" w:rsidRPr="00691AB0" w:rsidTr="00691AB0">
        <w:trPr>
          <w:trHeight w:val="315"/>
          <w:jc w:val="center"/>
        </w:trPr>
        <w:tc>
          <w:tcPr>
            <w:tcW w:w="3163" w:type="dxa"/>
            <w:tcBorders>
              <w:top w:val="nil"/>
              <w:left w:val="single" w:sz="12" w:space="0" w:color="auto"/>
              <w:bottom w:val="nil"/>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Možná budocnoust</w:t>
            </w:r>
          </w:p>
        </w:tc>
        <w:tc>
          <w:tcPr>
            <w:tcW w:w="3257" w:type="dxa"/>
            <w:tcBorders>
              <w:top w:val="nil"/>
              <w:left w:val="nil"/>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neznámá</w:t>
            </w:r>
          </w:p>
        </w:tc>
      </w:tr>
      <w:tr w:rsidR="00691AB0" w:rsidRPr="00691AB0" w:rsidTr="00691AB0">
        <w:trPr>
          <w:trHeight w:val="315"/>
          <w:jc w:val="center"/>
        </w:trPr>
        <w:tc>
          <w:tcPr>
            <w:tcW w:w="3163"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nezjištěno</w:t>
            </w:r>
          </w:p>
        </w:tc>
      </w:tr>
      <w:tr w:rsidR="00691AB0" w:rsidRPr="00691AB0" w:rsidTr="00691AB0">
        <w:trPr>
          <w:trHeight w:val="315"/>
          <w:jc w:val="center"/>
        </w:trPr>
        <w:tc>
          <w:tcPr>
            <w:tcW w:w="6420"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b/>
                <w:bCs/>
                <w:color w:val="000000"/>
              </w:rPr>
            </w:pPr>
            <w:r w:rsidRPr="00691AB0">
              <w:rPr>
                <w:b/>
                <w:bCs/>
                <w:color w:val="000000"/>
              </w:rPr>
              <w:t>VNITROZEMSKÁ VODNÍ PŘEPRAVA</w:t>
            </w:r>
          </w:p>
        </w:tc>
      </w:tr>
      <w:tr w:rsidR="00691AB0" w:rsidRPr="00691AB0" w:rsidTr="00691AB0">
        <w:trPr>
          <w:trHeight w:val="630"/>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Legislativa</w:t>
            </w:r>
          </w:p>
        </w:tc>
        <w:tc>
          <w:tcPr>
            <w:tcW w:w="3257" w:type="dxa"/>
            <w:tcBorders>
              <w:top w:val="nil"/>
              <w:left w:val="nil"/>
              <w:bottom w:val="single" w:sz="4" w:space="0" w:color="auto"/>
              <w:right w:val="single" w:sz="12" w:space="0" w:color="auto"/>
            </w:tcBorders>
            <w:shd w:val="clear" w:color="auto" w:fill="auto"/>
            <w:vAlign w:val="bottom"/>
            <w:hideMark/>
          </w:tcPr>
          <w:p w:rsidR="00691AB0" w:rsidRPr="00691AB0" w:rsidRDefault="00691AB0" w:rsidP="00691AB0">
            <w:pPr>
              <w:spacing w:after="0"/>
              <w:ind w:firstLine="0"/>
              <w:jc w:val="left"/>
              <w:rPr>
                <w:color w:val="000000"/>
              </w:rPr>
            </w:pPr>
            <w:r w:rsidRPr="00691AB0">
              <w:rPr>
                <w:color w:val="000000"/>
              </w:rPr>
              <w:t>mezinárodní dohoda ADN, předpisy ADN-D</w:t>
            </w:r>
          </w:p>
        </w:tc>
      </w:tr>
      <w:tr w:rsidR="00691AB0" w:rsidRPr="00691AB0" w:rsidTr="00691AB0">
        <w:trPr>
          <w:trHeight w:val="315"/>
          <w:jc w:val="center"/>
        </w:trPr>
        <w:tc>
          <w:tcPr>
            <w:tcW w:w="3163" w:type="dxa"/>
            <w:tcBorders>
              <w:top w:val="nil"/>
              <w:left w:val="single" w:sz="12" w:space="0" w:color="auto"/>
              <w:bottom w:val="single" w:sz="4"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Evidence</w:t>
            </w:r>
          </w:p>
        </w:tc>
        <w:tc>
          <w:tcPr>
            <w:tcW w:w="3257"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žádná</w:t>
            </w:r>
          </w:p>
        </w:tc>
      </w:tr>
      <w:tr w:rsidR="00691AB0" w:rsidRPr="00691AB0" w:rsidTr="00691AB0">
        <w:trPr>
          <w:trHeight w:val="315"/>
          <w:jc w:val="center"/>
        </w:trPr>
        <w:tc>
          <w:tcPr>
            <w:tcW w:w="3163" w:type="dxa"/>
            <w:tcBorders>
              <w:top w:val="nil"/>
              <w:left w:val="single" w:sz="12" w:space="0" w:color="auto"/>
              <w:bottom w:val="nil"/>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Telematický systém</w:t>
            </w:r>
          </w:p>
        </w:tc>
        <w:tc>
          <w:tcPr>
            <w:tcW w:w="3257" w:type="dxa"/>
            <w:tcBorders>
              <w:top w:val="nil"/>
              <w:left w:val="nil"/>
              <w:bottom w:val="nil"/>
              <w:right w:val="single" w:sz="12"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neznámý</w:t>
            </w:r>
          </w:p>
        </w:tc>
      </w:tr>
      <w:tr w:rsidR="00691AB0" w:rsidRPr="00691AB0" w:rsidTr="00691AB0">
        <w:trPr>
          <w:trHeight w:val="630"/>
          <w:jc w:val="center"/>
        </w:trPr>
        <w:tc>
          <w:tcPr>
            <w:tcW w:w="3163"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left"/>
              <w:rPr>
                <w:color w:val="000000"/>
              </w:rPr>
            </w:pPr>
            <w:r w:rsidRPr="00691AB0">
              <w:rPr>
                <w:color w:val="000000"/>
              </w:rPr>
              <w:t xml:space="preserve">Telematické aplikace </w:t>
            </w:r>
          </w:p>
        </w:tc>
        <w:tc>
          <w:tcPr>
            <w:tcW w:w="3257" w:type="dxa"/>
            <w:tcBorders>
              <w:top w:val="single" w:sz="4" w:space="0" w:color="auto"/>
              <w:left w:val="nil"/>
              <w:bottom w:val="single" w:sz="4" w:space="0" w:color="auto"/>
              <w:right w:val="single" w:sz="12" w:space="0" w:color="auto"/>
            </w:tcBorders>
            <w:shd w:val="clear" w:color="auto" w:fill="auto"/>
            <w:vAlign w:val="bottom"/>
            <w:hideMark/>
          </w:tcPr>
          <w:p w:rsidR="00691AB0" w:rsidRPr="00691AB0" w:rsidRDefault="00691AB0" w:rsidP="00691AB0">
            <w:pPr>
              <w:spacing w:after="0"/>
              <w:ind w:firstLine="0"/>
              <w:jc w:val="left"/>
              <w:rPr>
                <w:color w:val="000000"/>
              </w:rPr>
            </w:pPr>
            <w:r w:rsidRPr="00691AB0">
              <w:rPr>
                <w:color w:val="000000"/>
              </w:rPr>
              <w:t>neznámé, přesto v ADN-D je doporučené jejich použití</w:t>
            </w:r>
          </w:p>
        </w:tc>
      </w:tr>
      <w:tr w:rsidR="00691AB0" w:rsidRPr="00691AB0" w:rsidTr="00691AB0">
        <w:trPr>
          <w:trHeight w:val="330"/>
          <w:jc w:val="center"/>
        </w:trPr>
        <w:tc>
          <w:tcPr>
            <w:tcW w:w="3163" w:type="dxa"/>
            <w:tcBorders>
              <w:top w:val="nil"/>
              <w:left w:val="single" w:sz="12" w:space="0" w:color="auto"/>
              <w:bottom w:val="single" w:sz="12" w:space="0" w:color="auto"/>
              <w:right w:val="single" w:sz="4" w:space="0" w:color="auto"/>
            </w:tcBorders>
            <w:shd w:val="clear" w:color="auto" w:fill="auto"/>
            <w:noWrap/>
            <w:vAlign w:val="bottom"/>
            <w:hideMark/>
          </w:tcPr>
          <w:p w:rsidR="00691AB0" w:rsidRPr="00691AB0" w:rsidRDefault="00691AB0" w:rsidP="00691AB0">
            <w:pPr>
              <w:spacing w:after="0"/>
              <w:ind w:firstLine="0"/>
              <w:jc w:val="left"/>
              <w:rPr>
                <w:color w:val="000000"/>
              </w:rPr>
            </w:pPr>
            <w:r w:rsidRPr="00691AB0">
              <w:rPr>
                <w:color w:val="000000"/>
              </w:rPr>
              <w:t>plány rozvoje</w:t>
            </w:r>
          </w:p>
        </w:tc>
        <w:tc>
          <w:tcPr>
            <w:tcW w:w="3257" w:type="dxa"/>
            <w:tcBorders>
              <w:top w:val="nil"/>
              <w:left w:val="nil"/>
              <w:bottom w:val="single" w:sz="12" w:space="0" w:color="auto"/>
              <w:right w:val="single" w:sz="12" w:space="0" w:color="auto"/>
            </w:tcBorders>
            <w:shd w:val="clear" w:color="auto" w:fill="auto"/>
            <w:vAlign w:val="center"/>
            <w:hideMark/>
          </w:tcPr>
          <w:p w:rsidR="00691AB0" w:rsidRPr="00691AB0" w:rsidRDefault="00691AB0" w:rsidP="00691AB0">
            <w:pPr>
              <w:spacing w:after="0"/>
              <w:ind w:firstLine="0"/>
              <w:jc w:val="left"/>
              <w:rPr>
                <w:color w:val="000000"/>
              </w:rPr>
            </w:pPr>
            <w:r w:rsidRPr="00691AB0">
              <w:rPr>
                <w:color w:val="000000"/>
              </w:rPr>
              <w:t>nezjištěno</w:t>
            </w:r>
          </w:p>
        </w:tc>
      </w:tr>
    </w:tbl>
    <w:p w:rsidR="00011652" w:rsidRDefault="00011652" w:rsidP="00011652">
      <w:pPr>
        <w:rPr>
          <w:rFonts w:eastAsiaTheme="majorEastAsia"/>
        </w:rPr>
      </w:pPr>
    </w:p>
    <w:p w:rsidR="00011652" w:rsidRDefault="00011652" w:rsidP="00011652">
      <w:pPr>
        <w:rPr>
          <w:rFonts w:eastAsiaTheme="majorEastAsia"/>
        </w:rPr>
      </w:pPr>
    </w:p>
    <w:p w:rsidR="00011652" w:rsidRPr="00F879C3" w:rsidRDefault="00011652" w:rsidP="00011652">
      <w:pPr>
        <w:pStyle w:val="Nadpis3"/>
        <w:rPr>
          <w:rFonts w:ascii="Times New Roman" w:eastAsiaTheme="majorEastAsia" w:hAnsi="Times New Roman"/>
          <w:sz w:val="28"/>
        </w:rPr>
      </w:pPr>
      <w:bookmarkStart w:id="87" w:name="_Toc326741548"/>
      <w:r>
        <w:rPr>
          <w:rFonts w:ascii="Times New Roman" w:eastAsiaTheme="majorEastAsia" w:hAnsi="Times New Roman"/>
          <w:sz w:val="28"/>
        </w:rPr>
        <w:lastRenderedPageBreak/>
        <w:t>Celkové porovnání</w:t>
      </w:r>
      <w:bookmarkEnd w:id="87"/>
      <w:r>
        <w:rPr>
          <w:rFonts w:ascii="Times New Roman" w:eastAsiaTheme="majorEastAsia" w:hAnsi="Times New Roman"/>
          <w:sz w:val="28"/>
        </w:rPr>
        <w:t xml:space="preserve"> </w:t>
      </w:r>
    </w:p>
    <w:tbl>
      <w:tblPr>
        <w:tblW w:w="10320" w:type="dxa"/>
        <w:jc w:val="center"/>
        <w:tblInd w:w="55" w:type="dxa"/>
        <w:tblCellMar>
          <w:left w:w="70" w:type="dxa"/>
          <w:right w:w="70" w:type="dxa"/>
        </w:tblCellMar>
        <w:tblLook w:val="04A0"/>
      </w:tblPr>
      <w:tblGrid>
        <w:gridCol w:w="1380"/>
        <w:gridCol w:w="960"/>
        <w:gridCol w:w="2020"/>
        <w:gridCol w:w="2500"/>
        <w:gridCol w:w="1069"/>
        <w:gridCol w:w="1260"/>
        <w:gridCol w:w="1140"/>
      </w:tblGrid>
      <w:tr w:rsidR="00691AB0" w:rsidRPr="00691AB0" w:rsidTr="00665A33">
        <w:trPr>
          <w:trHeight w:val="300"/>
          <w:jc w:val="center"/>
        </w:trPr>
        <w:tc>
          <w:tcPr>
            <w:tcW w:w="1380" w:type="dxa"/>
            <w:vMerge w:val="restart"/>
            <w:tcBorders>
              <w:top w:val="single" w:sz="12" w:space="0" w:color="auto"/>
              <w:left w:val="single" w:sz="12" w:space="0" w:color="auto"/>
              <w:bottom w:val="single" w:sz="4" w:space="0" w:color="000000"/>
              <w:right w:val="single" w:sz="8" w:space="0" w:color="auto"/>
            </w:tcBorders>
            <w:shd w:val="clear" w:color="auto" w:fill="auto"/>
            <w:noWrap/>
            <w:vAlign w:val="bottom"/>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 </w:t>
            </w:r>
          </w:p>
        </w:tc>
        <w:tc>
          <w:tcPr>
            <w:tcW w:w="8940" w:type="dxa"/>
            <w:gridSpan w:val="6"/>
            <w:tcBorders>
              <w:top w:val="single" w:sz="12" w:space="0" w:color="auto"/>
              <w:left w:val="nil"/>
              <w:bottom w:val="single" w:sz="4" w:space="0" w:color="auto"/>
              <w:right w:val="single" w:sz="12" w:space="0" w:color="auto"/>
            </w:tcBorders>
            <w:shd w:val="clear" w:color="auto" w:fill="auto"/>
            <w:noWrap/>
            <w:vAlign w:val="bottom"/>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železniční přeprava</w:t>
            </w:r>
          </w:p>
        </w:tc>
      </w:tr>
      <w:tr w:rsidR="00691AB0" w:rsidRPr="00691AB0" w:rsidTr="00665A33">
        <w:trPr>
          <w:trHeight w:val="885"/>
          <w:jc w:val="center"/>
        </w:trPr>
        <w:tc>
          <w:tcPr>
            <w:tcW w:w="1380" w:type="dxa"/>
            <w:vMerge/>
            <w:tcBorders>
              <w:top w:val="single" w:sz="8" w:space="0" w:color="auto"/>
              <w:left w:val="single" w:sz="12" w:space="0" w:color="auto"/>
              <w:bottom w:val="single" w:sz="4" w:space="0" w:color="000000"/>
              <w:right w:val="single" w:sz="8" w:space="0" w:color="auto"/>
            </w:tcBorders>
            <w:vAlign w:val="center"/>
            <w:hideMark/>
          </w:tcPr>
          <w:p w:rsidR="00691AB0" w:rsidRPr="00691AB0" w:rsidRDefault="00691AB0" w:rsidP="00691AB0">
            <w:pPr>
              <w:spacing w:after="0"/>
              <w:ind w:firstLine="0"/>
              <w:jc w:val="left"/>
              <w:rPr>
                <w:rFonts w:ascii="Calibri" w:hAnsi="Calibri" w:cs="Calibri"/>
                <w:color w:val="000000"/>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 xml:space="preserve">národní systém </w:t>
            </w:r>
          </w:p>
        </w:tc>
        <w:tc>
          <w:tcPr>
            <w:tcW w:w="2020" w:type="dxa"/>
            <w:tcBorders>
              <w:top w:val="nil"/>
              <w:left w:val="nil"/>
              <w:bottom w:val="single" w:sz="4" w:space="0" w:color="auto"/>
              <w:right w:val="single" w:sz="4" w:space="0" w:color="auto"/>
            </w:tcBorders>
            <w:shd w:val="clear" w:color="auto" w:fill="auto"/>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legislativa upravující centrální sledování</w:t>
            </w:r>
          </w:p>
        </w:tc>
        <w:tc>
          <w:tcPr>
            <w:tcW w:w="2500" w:type="dxa"/>
            <w:tcBorders>
              <w:top w:val="nil"/>
              <w:left w:val="nil"/>
              <w:bottom w:val="single" w:sz="4" w:space="0" w:color="auto"/>
              <w:right w:val="single" w:sz="4" w:space="0" w:color="auto"/>
            </w:tcBorders>
            <w:shd w:val="clear" w:color="auto" w:fill="auto"/>
            <w:vAlign w:val="center"/>
            <w:hideMark/>
          </w:tcPr>
          <w:p w:rsidR="00691AB0" w:rsidRPr="00691AB0" w:rsidRDefault="00665A33" w:rsidP="00691AB0">
            <w:pPr>
              <w:spacing w:after="0"/>
              <w:ind w:firstLine="0"/>
              <w:jc w:val="center"/>
              <w:rPr>
                <w:rFonts w:ascii="Calibri" w:hAnsi="Calibri" w:cs="Calibri"/>
                <w:color w:val="000000"/>
                <w:sz w:val="22"/>
                <w:szCs w:val="22"/>
              </w:rPr>
            </w:pPr>
            <w:r>
              <w:rPr>
                <w:rFonts w:ascii="Calibri" w:hAnsi="Calibri" w:cs="Calibri"/>
                <w:color w:val="000000"/>
                <w:sz w:val="22"/>
                <w:szCs w:val="22"/>
              </w:rPr>
              <w:t>interop</w:t>
            </w:r>
            <w:r w:rsidR="00691AB0" w:rsidRPr="00691AB0">
              <w:rPr>
                <w:rFonts w:ascii="Calibri" w:hAnsi="Calibri" w:cs="Calibri"/>
                <w:color w:val="000000"/>
                <w:sz w:val="22"/>
                <w:szCs w:val="22"/>
              </w:rPr>
              <w:t>erabilita systému</w:t>
            </w:r>
          </w:p>
        </w:tc>
        <w:tc>
          <w:tcPr>
            <w:tcW w:w="1060" w:type="dxa"/>
            <w:tcBorders>
              <w:top w:val="nil"/>
              <w:left w:val="nil"/>
              <w:bottom w:val="single" w:sz="4" w:space="0" w:color="auto"/>
              <w:right w:val="single" w:sz="4" w:space="0" w:color="auto"/>
            </w:tcBorders>
            <w:shd w:val="clear" w:color="auto" w:fill="auto"/>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OBU certifikace</w:t>
            </w:r>
          </w:p>
        </w:tc>
        <w:tc>
          <w:tcPr>
            <w:tcW w:w="1260" w:type="dxa"/>
            <w:tcBorders>
              <w:top w:val="nil"/>
              <w:left w:val="nil"/>
              <w:bottom w:val="single" w:sz="4" w:space="0" w:color="auto"/>
              <w:right w:val="single" w:sz="4" w:space="0" w:color="auto"/>
            </w:tcBorders>
            <w:shd w:val="clear" w:color="auto" w:fill="auto"/>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Prostorová data</w:t>
            </w:r>
          </w:p>
        </w:tc>
        <w:tc>
          <w:tcPr>
            <w:tcW w:w="1140" w:type="dxa"/>
            <w:tcBorders>
              <w:top w:val="nil"/>
              <w:left w:val="nil"/>
              <w:bottom w:val="single" w:sz="4" w:space="0" w:color="auto"/>
              <w:right w:val="single" w:sz="12" w:space="0" w:color="auto"/>
            </w:tcBorders>
            <w:shd w:val="clear" w:color="auto" w:fill="auto"/>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INSPIRE</w:t>
            </w:r>
          </w:p>
        </w:tc>
      </w:tr>
      <w:tr w:rsidR="00691AB0" w:rsidRPr="00691AB0"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691AB0" w:rsidRPr="00691AB0" w:rsidRDefault="00691AB0" w:rsidP="00691AB0">
            <w:pPr>
              <w:spacing w:after="0"/>
              <w:ind w:firstLine="0"/>
              <w:jc w:val="left"/>
              <w:rPr>
                <w:rFonts w:ascii="Calibri" w:hAnsi="Calibri" w:cs="Calibri"/>
                <w:color w:val="000000"/>
                <w:sz w:val="22"/>
                <w:szCs w:val="22"/>
              </w:rPr>
            </w:pPr>
            <w:r w:rsidRPr="00691AB0">
              <w:rPr>
                <w:rFonts w:ascii="Calibri" w:hAnsi="Calibri" w:cs="Calibri"/>
                <w:color w:val="000000"/>
                <w:sz w:val="22"/>
                <w:szCs w:val="22"/>
              </w:rPr>
              <w:t>Německo</w:t>
            </w:r>
          </w:p>
        </w:tc>
        <w:tc>
          <w:tcPr>
            <w:tcW w:w="9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02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0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140" w:type="dxa"/>
            <w:tcBorders>
              <w:top w:val="nil"/>
              <w:left w:val="nil"/>
              <w:bottom w:val="single" w:sz="4" w:space="0" w:color="auto"/>
              <w:right w:val="single" w:sz="12"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nezjištěno</w:t>
            </w:r>
          </w:p>
        </w:tc>
      </w:tr>
      <w:tr w:rsidR="00691AB0" w:rsidRPr="00691AB0"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691AB0" w:rsidRPr="00691AB0" w:rsidRDefault="00691AB0" w:rsidP="00691AB0">
            <w:pPr>
              <w:spacing w:after="0"/>
              <w:ind w:firstLine="0"/>
              <w:jc w:val="left"/>
              <w:rPr>
                <w:rFonts w:ascii="Calibri" w:hAnsi="Calibri" w:cs="Calibri"/>
                <w:color w:val="000000"/>
                <w:sz w:val="22"/>
                <w:szCs w:val="22"/>
              </w:rPr>
            </w:pPr>
            <w:r w:rsidRPr="00691AB0">
              <w:rPr>
                <w:rFonts w:ascii="Calibri" w:hAnsi="Calibri" w:cs="Calibri"/>
                <w:color w:val="000000"/>
                <w:sz w:val="22"/>
                <w:szCs w:val="22"/>
              </w:rPr>
              <w:t>Rakousko</w:t>
            </w:r>
          </w:p>
        </w:tc>
        <w:tc>
          <w:tcPr>
            <w:tcW w:w="9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02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0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140" w:type="dxa"/>
            <w:tcBorders>
              <w:top w:val="nil"/>
              <w:left w:val="nil"/>
              <w:bottom w:val="single" w:sz="4" w:space="0" w:color="auto"/>
              <w:right w:val="single" w:sz="12"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nezjištěno</w:t>
            </w:r>
          </w:p>
        </w:tc>
      </w:tr>
      <w:tr w:rsidR="00691AB0" w:rsidRPr="00691AB0"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691AB0" w:rsidRPr="00691AB0" w:rsidRDefault="00691AB0" w:rsidP="00691AB0">
            <w:pPr>
              <w:spacing w:after="0"/>
              <w:ind w:firstLine="0"/>
              <w:jc w:val="left"/>
              <w:rPr>
                <w:rFonts w:ascii="Calibri" w:hAnsi="Calibri" w:cs="Calibri"/>
                <w:color w:val="000000"/>
                <w:sz w:val="22"/>
                <w:szCs w:val="22"/>
              </w:rPr>
            </w:pPr>
            <w:r w:rsidRPr="00691AB0">
              <w:rPr>
                <w:rFonts w:ascii="Calibri" w:hAnsi="Calibri" w:cs="Calibri"/>
                <w:color w:val="000000"/>
                <w:sz w:val="22"/>
                <w:szCs w:val="22"/>
              </w:rPr>
              <w:t>Polsko</w:t>
            </w:r>
          </w:p>
        </w:tc>
        <w:tc>
          <w:tcPr>
            <w:tcW w:w="9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02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0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140" w:type="dxa"/>
            <w:tcBorders>
              <w:top w:val="nil"/>
              <w:left w:val="nil"/>
              <w:bottom w:val="single" w:sz="4" w:space="0" w:color="auto"/>
              <w:right w:val="single" w:sz="12"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nezjištěno</w:t>
            </w:r>
          </w:p>
        </w:tc>
      </w:tr>
      <w:tr w:rsidR="00691AB0" w:rsidRPr="00691AB0" w:rsidTr="00665A33">
        <w:trPr>
          <w:trHeight w:val="315"/>
          <w:jc w:val="center"/>
        </w:trPr>
        <w:tc>
          <w:tcPr>
            <w:tcW w:w="1380" w:type="dxa"/>
            <w:tcBorders>
              <w:top w:val="nil"/>
              <w:left w:val="single" w:sz="12" w:space="0" w:color="auto"/>
              <w:bottom w:val="single" w:sz="12" w:space="0" w:color="auto"/>
              <w:right w:val="single" w:sz="8" w:space="0" w:color="auto"/>
            </w:tcBorders>
            <w:shd w:val="clear" w:color="auto" w:fill="auto"/>
            <w:noWrap/>
            <w:vAlign w:val="bottom"/>
            <w:hideMark/>
          </w:tcPr>
          <w:p w:rsidR="00691AB0" w:rsidRPr="00691AB0" w:rsidRDefault="00691AB0" w:rsidP="00691AB0">
            <w:pPr>
              <w:spacing w:after="0"/>
              <w:ind w:firstLine="0"/>
              <w:jc w:val="left"/>
              <w:rPr>
                <w:rFonts w:ascii="Calibri" w:hAnsi="Calibri" w:cs="Calibri"/>
                <w:color w:val="000000"/>
                <w:sz w:val="22"/>
                <w:szCs w:val="22"/>
              </w:rPr>
            </w:pPr>
            <w:r w:rsidRPr="00691AB0">
              <w:rPr>
                <w:rFonts w:ascii="Calibri" w:hAnsi="Calibri" w:cs="Calibri"/>
                <w:color w:val="000000"/>
                <w:sz w:val="22"/>
                <w:szCs w:val="22"/>
              </w:rPr>
              <w:t>Slovensko</w:t>
            </w:r>
          </w:p>
        </w:tc>
        <w:tc>
          <w:tcPr>
            <w:tcW w:w="960" w:type="dxa"/>
            <w:tcBorders>
              <w:top w:val="nil"/>
              <w:left w:val="nil"/>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020" w:type="dxa"/>
            <w:tcBorders>
              <w:top w:val="nil"/>
              <w:left w:val="nil"/>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2500" w:type="dxa"/>
            <w:tcBorders>
              <w:top w:val="nil"/>
              <w:left w:val="nil"/>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060" w:type="dxa"/>
            <w:tcBorders>
              <w:top w:val="nil"/>
              <w:left w:val="nil"/>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x</w:t>
            </w:r>
          </w:p>
        </w:tc>
        <w:tc>
          <w:tcPr>
            <w:tcW w:w="1260" w:type="dxa"/>
            <w:tcBorders>
              <w:top w:val="nil"/>
              <w:left w:val="nil"/>
              <w:bottom w:val="single" w:sz="12" w:space="0" w:color="auto"/>
              <w:right w:val="single" w:sz="4"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není systém</w:t>
            </w:r>
          </w:p>
        </w:tc>
        <w:tc>
          <w:tcPr>
            <w:tcW w:w="1140" w:type="dxa"/>
            <w:tcBorders>
              <w:top w:val="nil"/>
              <w:left w:val="nil"/>
              <w:bottom w:val="single" w:sz="12" w:space="0" w:color="auto"/>
              <w:right w:val="single" w:sz="12" w:space="0" w:color="auto"/>
            </w:tcBorders>
            <w:shd w:val="clear" w:color="auto" w:fill="auto"/>
            <w:noWrap/>
            <w:vAlign w:val="center"/>
            <w:hideMark/>
          </w:tcPr>
          <w:p w:rsidR="00691AB0" w:rsidRPr="00691AB0" w:rsidRDefault="00691AB0" w:rsidP="00691AB0">
            <w:pPr>
              <w:spacing w:after="0"/>
              <w:ind w:firstLine="0"/>
              <w:jc w:val="center"/>
              <w:rPr>
                <w:rFonts w:ascii="Calibri" w:hAnsi="Calibri" w:cs="Calibri"/>
                <w:color w:val="000000"/>
                <w:sz w:val="22"/>
                <w:szCs w:val="22"/>
              </w:rPr>
            </w:pPr>
            <w:r w:rsidRPr="00691AB0">
              <w:rPr>
                <w:rFonts w:ascii="Calibri" w:hAnsi="Calibri" w:cs="Calibri"/>
                <w:color w:val="000000"/>
                <w:sz w:val="22"/>
                <w:szCs w:val="22"/>
              </w:rPr>
              <w:t>nezjištěno</w:t>
            </w:r>
          </w:p>
        </w:tc>
      </w:tr>
    </w:tbl>
    <w:p w:rsidR="00011652" w:rsidRDefault="00011652" w:rsidP="00D45A5D">
      <w:pPr>
        <w:tabs>
          <w:tab w:val="left" w:pos="1134"/>
        </w:tabs>
        <w:spacing w:before="120" w:after="0"/>
        <w:ind w:firstLine="284"/>
        <w:rPr>
          <w:rFonts w:eastAsiaTheme="majorEastAsia"/>
        </w:rPr>
      </w:pPr>
    </w:p>
    <w:tbl>
      <w:tblPr>
        <w:tblW w:w="10340" w:type="dxa"/>
        <w:jc w:val="center"/>
        <w:tblInd w:w="55" w:type="dxa"/>
        <w:tblCellMar>
          <w:left w:w="70" w:type="dxa"/>
          <w:right w:w="70" w:type="dxa"/>
        </w:tblCellMar>
        <w:tblLook w:val="04A0"/>
      </w:tblPr>
      <w:tblGrid>
        <w:gridCol w:w="1380"/>
        <w:gridCol w:w="960"/>
        <w:gridCol w:w="2020"/>
        <w:gridCol w:w="2500"/>
        <w:gridCol w:w="1080"/>
        <w:gridCol w:w="1260"/>
        <w:gridCol w:w="1140"/>
      </w:tblGrid>
      <w:tr w:rsidR="00245D22" w:rsidRPr="00245D22" w:rsidTr="00665A33">
        <w:trPr>
          <w:trHeight w:val="300"/>
          <w:jc w:val="center"/>
        </w:trPr>
        <w:tc>
          <w:tcPr>
            <w:tcW w:w="1380" w:type="dxa"/>
            <w:vMerge w:val="restart"/>
            <w:tcBorders>
              <w:top w:val="single" w:sz="12" w:space="0" w:color="auto"/>
              <w:left w:val="single" w:sz="12" w:space="0" w:color="auto"/>
              <w:bottom w:val="single" w:sz="4" w:space="0" w:color="000000"/>
              <w:right w:val="single" w:sz="8" w:space="0" w:color="auto"/>
            </w:tcBorders>
            <w:shd w:val="clear" w:color="auto" w:fill="auto"/>
            <w:noWrap/>
            <w:vAlign w:val="bottom"/>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 </w:t>
            </w:r>
          </w:p>
        </w:tc>
        <w:tc>
          <w:tcPr>
            <w:tcW w:w="8960" w:type="dxa"/>
            <w:gridSpan w:val="6"/>
            <w:tcBorders>
              <w:top w:val="single" w:sz="12" w:space="0" w:color="auto"/>
              <w:left w:val="nil"/>
              <w:bottom w:val="single" w:sz="4" w:space="0" w:color="auto"/>
              <w:right w:val="single" w:sz="12" w:space="0" w:color="auto"/>
            </w:tcBorders>
            <w:shd w:val="clear" w:color="auto" w:fill="auto"/>
            <w:noWrap/>
            <w:vAlign w:val="bottom"/>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silniční přeprava</w:t>
            </w:r>
          </w:p>
        </w:tc>
      </w:tr>
      <w:tr w:rsidR="00245D22" w:rsidRPr="00245D22" w:rsidTr="00665A33">
        <w:trPr>
          <w:trHeight w:val="885"/>
          <w:jc w:val="center"/>
        </w:trPr>
        <w:tc>
          <w:tcPr>
            <w:tcW w:w="1380" w:type="dxa"/>
            <w:vMerge/>
            <w:tcBorders>
              <w:top w:val="single" w:sz="8" w:space="0" w:color="auto"/>
              <w:left w:val="single" w:sz="12" w:space="0" w:color="auto"/>
              <w:bottom w:val="single" w:sz="4" w:space="0" w:color="000000"/>
              <w:right w:val="single" w:sz="8" w:space="0" w:color="auto"/>
            </w:tcBorders>
            <w:vAlign w:val="center"/>
            <w:hideMark/>
          </w:tcPr>
          <w:p w:rsidR="00245D22" w:rsidRPr="00245D22" w:rsidRDefault="00245D22" w:rsidP="00245D22">
            <w:pPr>
              <w:spacing w:after="0"/>
              <w:ind w:firstLine="0"/>
              <w:jc w:val="left"/>
              <w:rPr>
                <w:rFonts w:ascii="Calibri" w:hAnsi="Calibri" w:cs="Calibri"/>
                <w:color w:val="000000"/>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 xml:space="preserve">národní systém </w:t>
            </w:r>
          </w:p>
        </w:tc>
        <w:tc>
          <w:tcPr>
            <w:tcW w:w="202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legislativa upravující centrální sledování</w:t>
            </w:r>
          </w:p>
        </w:tc>
        <w:tc>
          <w:tcPr>
            <w:tcW w:w="2500" w:type="dxa"/>
            <w:tcBorders>
              <w:top w:val="nil"/>
              <w:left w:val="nil"/>
              <w:bottom w:val="single" w:sz="4" w:space="0" w:color="auto"/>
              <w:right w:val="single" w:sz="4" w:space="0" w:color="auto"/>
            </w:tcBorders>
            <w:shd w:val="clear" w:color="auto" w:fill="auto"/>
            <w:vAlign w:val="center"/>
            <w:hideMark/>
          </w:tcPr>
          <w:p w:rsidR="00245D22" w:rsidRPr="00245D22" w:rsidRDefault="00665A33" w:rsidP="00245D22">
            <w:pPr>
              <w:spacing w:after="0"/>
              <w:ind w:firstLine="0"/>
              <w:jc w:val="center"/>
              <w:rPr>
                <w:rFonts w:ascii="Calibri" w:hAnsi="Calibri" w:cs="Calibri"/>
                <w:color w:val="000000"/>
                <w:sz w:val="22"/>
                <w:szCs w:val="22"/>
              </w:rPr>
            </w:pPr>
            <w:r>
              <w:rPr>
                <w:rFonts w:ascii="Calibri" w:hAnsi="Calibri" w:cs="Calibri"/>
                <w:color w:val="000000"/>
                <w:sz w:val="22"/>
                <w:szCs w:val="22"/>
              </w:rPr>
              <w:t>interop</w:t>
            </w:r>
            <w:r w:rsidR="00245D22" w:rsidRPr="00245D22">
              <w:rPr>
                <w:rFonts w:ascii="Calibri" w:hAnsi="Calibri" w:cs="Calibri"/>
                <w:color w:val="000000"/>
                <w:sz w:val="22"/>
                <w:szCs w:val="22"/>
              </w:rPr>
              <w:t>erabilita systému</w:t>
            </w:r>
          </w:p>
        </w:tc>
        <w:tc>
          <w:tcPr>
            <w:tcW w:w="108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OBU certifikace</w:t>
            </w:r>
          </w:p>
        </w:tc>
        <w:tc>
          <w:tcPr>
            <w:tcW w:w="126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Prostorová data</w:t>
            </w:r>
          </w:p>
        </w:tc>
        <w:tc>
          <w:tcPr>
            <w:tcW w:w="1140" w:type="dxa"/>
            <w:tcBorders>
              <w:top w:val="nil"/>
              <w:left w:val="nil"/>
              <w:bottom w:val="single" w:sz="4" w:space="0" w:color="auto"/>
              <w:right w:val="single" w:sz="12"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INSPIRE</w:t>
            </w:r>
          </w:p>
        </w:tc>
      </w:tr>
      <w:tr w:rsidR="00245D22" w:rsidRPr="00245D22"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Německo</w:t>
            </w:r>
          </w:p>
        </w:tc>
        <w:tc>
          <w:tcPr>
            <w:tcW w:w="9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02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08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140" w:type="dxa"/>
            <w:tcBorders>
              <w:top w:val="nil"/>
              <w:left w:val="nil"/>
              <w:bottom w:val="single" w:sz="4"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r w:rsidR="00245D22" w:rsidRPr="00245D22"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Rakousko</w:t>
            </w:r>
          </w:p>
        </w:tc>
        <w:tc>
          <w:tcPr>
            <w:tcW w:w="9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02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08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140" w:type="dxa"/>
            <w:tcBorders>
              <w:top w:val="nil"/>
              <w:left w:val="nil"/>
              <w:bottom w:val="single" w:sz="4"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r w:rsidR="00245D22" w:rsidRPr="00245D22"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Polsko</w:t>
            </w:r>
          </w:p>
        </w:tc>
        <w:tc>
          <w:tcPr>
            <w:tcW w:w="9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02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08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140" w:type="dxa"/>
            <w:tcBorders>
              <w:top w:val="nil"/>
              <w:left w:val="nil"/>
              <w:bottom w:val="single" w:sz="4"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r w:rsidR="00245D22" w:rsidRPr="00245D22" w:rsidTr="00665A33">
        <w:trPr>
          <w:trHeight w:val="315"/>
          <w:jc w:val="center"/>
        </w:trPr>
        <w:tc>
          <w:tcPr>
            <w:tcW w:w="1380" w:type="dxa"/>
            <w:tcBorders>
              <w:top w:val="nil"/>
              <w:left w:val="single" w:sz="12" w:space="0" w:color="auto"/>
              <w:bottom w:val="single" w:sz="12"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Slovensko</w:t>
            </w:r>
          </w:p>
        </w:tc>
        <w:tc>
          <w:tcPr>
            <w:tcW w:w="96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02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08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140" w:type="dxa"/>
            <w:tcBorders>
              <w:top w:val="nil"/>
              <w:left w:val="nil"/>
              <w:bottom w:val="single" w:sz="12"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bl>
    <w:p w:rsidR="00011652" w:rsidRDefault="00011652" w:rsidP="00D45A5D">
      <w:pPr>
        <w:tabs>
          <w:tab w:val="left" w:pos="1134"/>
        </w:tabs>
        <w:spacing w:before="120" w:after="0"/>
        <w:ind w:firstLine="284"/>
        <w:rPr>
          <w:rFonts w:eastAsiaTheme="majorEastAsia"/>
        </w:rPr>
      </w:pPr>
    </w:p>
    <w:tbl>
      <w:tblPr>
        <w:tblW w:w="10340" w:type="dxa"/>
        <w:jc w:val="center"/>
        <w:tblInd w:w="55" w:type="dxa"/>
        <w:tblCellMar>
          <w:left w:w="70" w:type="dxa"/>
          <w:right w:w="70" w:type="dxa"/>
        </w:tblCellMar>
        <w:tblLook w:val="04A0"/>
      </w:tblPr>
      <w:tblGrid>
        <w:gridCol w:w="1380"/>
        <w:gridCol w:w="960"/>
        <w:gridCol w:w="2020"/>
        <w:gridCol w:w="2500"/>
        <w:gridCol w:w="1080"/>
        <w:gridCol w:w="1260"/>
        <w:gridCol w:w="1140"/>
      </w:tblGrid>
      <w:tr w:rsidR="00245D22" w:rsidRPr="00245D22" w:rsidTr="00665A33">
        <w:trPr>
          <w:trHeight w:val="300"/>
          <w:jc w:val="center"/>
        </w:trPr>
        <w:tc>
          <w:tcPr>
            <w:tcW w:w="1380" w:type="dxa"/>
            <w:vMerge w:val="restart"/>
            <w:tcBorders>
              <w:top w:val="single" w:sz="12" w:space="0" w:color="auto"/>
              <w:left w:val="single" w:sz="12" w:space="0" w:color="auto"/>
              <w:bottom w:val="single" w:sz="4" w:space="0" w:color="000000"/>
              <w:right w:val="single" w:sz="8" w:space="0" w:color="auto"/>
            </w:tcBorders>
            <w:shd w:val="clear" w:color="auto" w:fill="auto"/>
            <w:noWrap/>
            <w:vAlign w:val="bottom"/>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 </w:t>
            </w:r>
          </w:p>
        </w:tc>
        <w:tc>
          <w:tcPr>
            <w:tcW w:w="8960" w:type="dxa"/>
            <w:gridSpan w:val="6"/>
            <w:tcBorders>
              <w:top w:val="single" w:sz="12" w:space="0" w:color="auto"/>
              <w:left w:val="nil"/>
              <w:bottom w:val="single" w:sz="4" w:space="0" w:color="auto"/>
              <w:right w:val="single" w:sz="12" w:space="0" w:color="auto"/>
            </w:tcBorders>
            <w:shd w:val="clear" w:color="auto" w:fill="auto"/>
            <w:noWrap/>
            <w:vAlign w:val="bottom"/>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 xml:space="preserve">vodní přeprava </w:t>
            </w:r>
          </w:p>
        </w:tc>
      </w:tr>
      <w:tr w:rsidR="00245D22" w:rsidRPr="00245D22" w:rsidTr="00665A33">
        <w:trPr>
          <w:trHeight w:val="885"/>
          <w:jc w:val="center"/>
        </w:trPr>
        <w:tc>
          <w:tcPr>
            <w:tcW w:w="1380" w:type="dxa"/>
            <w:vMerge/>
            <w:tcBorders>
              <w:top w:val="single" w:sz="8" w:space="0" w:color="auto"/>
              <w:left w:val="single" w:sz="12" w:space="0" w:color="auto"/>
              <w:bottom w:val="single" w:sz="4" w:space="0" w:color="000000"/>
              <w:right w:val="single" w:sz="8" w:space="0" w:color="auto"/>
            </w:tcBorders>
            <w:vAlign w:val="center"/>
            <w:hideMark/>
          </w:tcPr>
          <w:p w:rsidR="00245D22" w:rsidRPr="00245D22" w:rsidRDefault="00245D22" w:rsidP="00245D22">
            <w:pPr>
              <w:spacing w:after="0"/>
              <w:ind w:firstLine="0"/>
              <w:jc w:val="left"/>
              <w:rPr>
                <w:rFonts w:ascii="Calibri" w:hAnsi="Calibri" w:cs="Calibri"/>
                <w:color w:val="000000"/>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 xml:space="preserve">národní systém </w:t>
            </w:r>
          </w:p>
        </w:tc>
        <w:tc>
          <w:tcPr>
            <w:tcW w:w="202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legislativa upravující centrální sledování</w:t>
            </w:r>
          </w:p>
        </w:tc>
        <w:tc>
          <w:tcPr>
            <w:tcW w:w="2500" w:type="dxa"/>
            <w:tcBorders>
              <w:top w:val="nil"/>
              <w:left w:val="nil"/>
              <w:bottom w:val="single" w:sz="4" w:space="0" w:color="auto"/>
              <w:right w:val="single" w:sz="4" w:space="0" w:color="auto"/>
            </w:tcBorders>
            <w:shd w:val="clear" w:color="auto" w:fill="auto"/>
            <w:vAlign w:val="center"/>
            <w:hideMark/>
          </w:tcPr>
          <w:p w:rsidR="00245D22" w:rsidRPr="00245D22" w:rsidRDefault="00665A33" w:rsidP="00245D22">
            <w:pPr>
              <w:spacing w:after="0"/>
              <w:ind w:firstLine="0"/>
              <w:jc w:val="center"/>
              <w:rPr>
                <w:rFonts w:ascii="Calibri" w:hAnsi="Calibri" w:cs="Calibri"/>
                <w:color w:val="000000"/>
                <w:sz w:val="22"/>
                <w:szCs w:val="22"/>
              </w:rPr>
            </w:pPr>
            <w:r>
              <w:rPr>
                <w:rFonts w:ascii="Calibri" w:hAnsi="Calibri" w:cs="Calibri"/>
                <w:color w:val="000000"/>
                <w:sz w:val="22"/>
                <w:szCs w:val="22"/>
              </w:rPr>
              <w:t>interop</w:t>
            </w:r>
            <w:r w:rsidR="00245D22" w:rsidRPr="00245D22">
              <w:rPr>
                <w:rFonts w:ascii="Calibri" w:hAnsi="Calibri" w:cs="Calibri"/>
                <w:color w:val="000000"/>
                <w:sz w:val="22"/>
                <w:szCs w:val="22"/>
              </w:rPr>
              <w:t>erabilita systému</w:t>
            </w:r>
          </w:p>
        </w:tc>
        <w:tc>
          <w:tcPr>
            <w:tcW w:w="108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OBU certifikace</w:t>
            </w:r>
          </w:p>
        </w:tc>
        <w:tc>
          <w:tcPr>
            <w:tcW w:w="1260" w:type="dxa"/>
            <w:tcBorders>
              <w:top w:val="nil"/>
              <w:left w:val="nil"/>
              <w:bottom w:val="single" w:sz="4" w:space="0" w:color="auto"/>
              <w:right w:val="single" w:sz="4"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Prostorová data</w:t>
            </w:r>
          </w:p>
        </w:tc>
        <w:tc>
          <w:tcPr>
            <w:tcW w:w="1140" w:type="dxa"/>
            <w:tcBorders>
              <w:top w:val="nil"/>
              <w:left w:val="nil"/>
              <w:bottom w:val="single" w:sz="4" w:space="0" w:color="auto"/>
              <w:right w:val="single" w:sz="12" w:space="0" w:color="auto"/>
            </w:tcBorders>
            <w:shd w:val="clear" w:color="auto" w:fill="auto"/>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INSPIRE</w:t>
            </w:r>
          </w:p>
        </w:tc>
      </w:tr>
      <w:tr w:rsidR="00245D22" w:rsidRPr="00245D22"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Německo</w:t>
            </w:r>
          </w:p>
        </w:tc>
        <w:tc>
          <w:tcPr>
            <w:tcW w:w="9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color w:val="000000"/>
                <w:sz w:val="22"/>
                <w:szCs w:val="22"/>
              </w:rPr>
            </w:pPr>
            <w:r w:rsidRPr="00245D22">
              <w:rPr>
                <w:color w:val="000000"/>
                <w:sz w:val="22"/>
                <w:szCs w:val="22"/>
              </w:rPr>
              <w:t>RIS *</w:t>
            </w:r>
          </w:p>
        </w:tc>
        <w:tc>
          <w:tcPr>
            <w:tcW w:w="202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předávání dat</w:t>
            </w:r>
          </w:p>
        </w:tc>
        <w:tc>
          <w:tcPr>
            <w:tcW w:w="108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c>
          <w:tcPr>
            <w:tcW w:w="1140" w:type="dxa"/>
            <w:tcBorders>
              <w:top w:val="nil"/>
              <w:left w:val="nil"/>
              <w:bottom w:val="single" w:sz="4"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r w:rsidR="00245D22" w:rsidRPr="00245D22"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Rakousko</w:t>
            </w:r>
          </w:p>
        </w:tc>
        <w:tc>
          <w:tcPr>
            <w:tcW w:w="9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color w:val="000000"/>
                <w:sz w:val="22"/>
                <w:szCs w:val="22"/>
              </w:rPr>
            </w:pPr>
            <w:r w:rsidRPr="00245D22">
              <w:rPr>
                <w:color w:val="000000"/>
                <w:sz w:val="22"/>
                <w:szCs w:val="22"/>
              </w:rPr>
              <w:t>DoRIS *</w:t>
            </w:r>
          </w:p>
        </w:tc>
        <w:tc>
          <w:tcPr>
            <w:tcW w:w="202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zatím nezavedena</w:t>
            </w:r>
          </w:p>
        </w:tc>
        <w:tc>
          <w:tcPr>
            <w:tcW w:w="108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c>
          <w:tcPr>
            <w:tcW w:w="1140" w:type="dxa"/>
            <w:tcBorders>
              <w:top w:val="nil"/>
              <w:left w:val="nil"/>
              <w:bottom w:val="single" w:sz="4"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r w:rsidR="00245D22" w:rsidRPr="00245D22" w:rsidTr="00665A33">
        <w:trPr>
          <w:trHeight w:val="300"/>
          <w:jc w:val="center"/>
        </w:trPr>
        <w:tc>
          <w:tcPr>
            <w:tcW w:w="1380" w:type="dxa"/>
            <w:tcBorders>
              <w:top w:val="nil"/>
              <w:left w:val="single" w:sz="12" w:space="0" w:color="auto"/>
              <w:bottom w:val="single" w:sz="4"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Polsko</w:t>
            </w:r>
          </w:p>
        </w:tc>
        <w:tc>
          <w:tcPr>
            <w:tcW w:w="9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color w:val="000000"/>
                <w:sz w:val="22"/>
                <w:szCs w:val="22"/>
              </w:rPr>
            </w:pPr>
            <w:r w:rsidRPr="00245D22">
              <w:rPr>
                <w:color w:val="000000"/>
                <w:sz w:val="22"/>
                <w:szCs w:val="22"/>
              </w:rPr>
              <w:t>RIS *</w:t>
            </w:r>
          </w:p>
        </w:tc>
        <w:tc>
          <w:tcPr>
            <w:tcW w:w="202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 ve fázi vývoje</w:t>
            </w:r>
          </w:p>
        </w:tc>
        <w:tc>
          <w:tcPr>
            <w:tcW w:w="108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4"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c>
          <w:tcPr>
            <w:tcW w:w="1140" w:type="dxa"/>
            <w:tcBorders>
              <w:top w:val="nil"/>
              <w:left w:val="nil"/>
              <w:bottom w:val="single" w:sz="4"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r w:rsidR="00245D22" w:rsidRPr="00245D22" w:rsidTr="00665A33">
        <w:trPr>
          <w:trHeight w:val="315"/>
          <w:jc w:val="center"/>
        </w:trPr>
        <w:tc>
          <w:tcPr>
            <w:tcW w:w="1380" w:type="dxa"/>
            <w:tcBorders>
              <w:top w:val="nil"/>
              <w:left w:val="single" w:sz="12" w:space="0" w:color="auto"/>
              <w:bottom w:val="single" w:sz="12" w:space="0" w:color="auto"/>
              <w:right w:val="single" w:sz="8" w:space="0" w:color="auto"/>
            </w:tcBorders>
            <w:shd w:val="clear" w:color="auto" w:fill="auto"/>
            <w:noWrap/>
            <w:vAlign w:val="bottom"/>
            <w:hideMark/>
          </w:tcPr>
          <w:p w:rsidR="00245D22" w:rsidRPr="00245D22" w:rsidRDefault="00245D22" w:rsidP="00245D22">
            <w:pPr>
              <w:spacing w:after="0"/>
              <w:ind w:firstLine="0"/>
              <w:jc w:val="left"/>
              <w:rPr>
                <w:rFonts w:ascii="Calibri" w:hAnsi="Calibri" w:cs="Calibri"/>
                <w:color w:val="000000"/>
                <w:sz w:val="22"/>
                <w:szCs w:val="22"/>
              </w:rPr>
            </w:pPr>
            <w:r w:rsidRPr="00245D22">
              <w:rPr>
                <w:rFonts w:ascii="Calibri" w:hAnsi="Calibri" w:cs="Calibri"/>
                <w:color w:val="000000"/>
                <w:sz w:val="22"/>
                <w:szCs w:val="22"/>
              </w:rPr>
              <w:t>Slovensko</w:t>
            </w:r>
          </w:p>
        </w:tc>
        <w:tc>
          <w:tcPr>
            <w:tcW w:w="96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02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250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08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x</w:t>
            </w:r>
          </w:p>
        </w:tc>
        <w:tc>
          <w:tcPr>
            <w:tcW w:w="1260" w:type="dxa"/>
            <w:tcBorders>
              <w:top w:val="nil"/>
              <w:left w:val="nil"/>
              <w:bottom w:val="single" w:sz="12" w:space="0" w:color="auto"/>
              <w:right w:val="single" w:sz="4"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není systém</w:t>
            </w:r>
          </w:p>
        </w:tc>
        <w:tc>
          <w:tcPr>
            <w:tcW w:w="1140" w:type="dxa"/>
            <w:tcBorders>
              <w:top w:val="nil"/>
              <w:left w:val="nil"/>
              <w:bottom w:val="single" w:sz="12" w:space="0" w:color="auto"/>
              <w:right w:val="single" w:sz="12" w:space="0" w:color="auto"/>
            </w:tcBorders>
            <w:shd w:val="clear" w:color="auto" w:fill="auto"/>
            <w:noWrap/>
            <w:vAlign w:val="center"/>
            <w:hideMark/>
          </w:tcPr>
          <w:p w:rsidR="00245D22" w:rsidRPr="00245D22" w:rsidRDefault="00245D22" w:rsidP="00245D22">
            <w:pPr>
              <w:spacing w:after="0"/>
              <w:ind w:firstLine="0"/>
              <w:jc w:val="center"/>
              <w:rPr>
                <w:rFonts w:ascii="Calibri" w:hAnsi="Calibri" w:cs="Calibri"/>
                <w:color w:val="000000"/>
                <w:sz w:val="22"/>
                <w:szCs w:val="22"/>
              </w:rPr>
            </w:pPr>
            <w:r w:rsidRPr="00245D22">
              <w:rPr>
                <w:rFonts w:ascii="Calibri" w:hAnsi="Calibri" w:cs="Calibri"/>
                <w:color w:val="000000"/>
                <w:sz w:val="22"/>
                <w:szCs w:val="22"/>
              </w:rPr>
              <w:t>nezjištěno</w:t>
            </w:r>
          </w:p>
        </w:tc>
      </w:tr>
    </w:tbl>
    <w:p w:rsidR="00011652" w:rsidRDefault="00011652" w:rsidP="00D45A5D">
      <w:pPr>
        <w:tabs>
          <w:tab w:val="left" w:pos="1134"/>
        </w:tabs>
        <w:spacing w:before="120" w:after="0"/>
        <w:ind w:firstLine="284"/>
        <w:rPr>
          <w:rFonts w:eastAsiaTheme="majorEastAsia"/>
        </w:rPr>
      </w:pPr>
    </w:p>
    <w:p w:rsidR="00011652" w:rsidRPr="003967AF" w:rsidRDefault="00011652" w:rsidP="00D45A5D">
      <w:pPr>
        <w:tabs>
          <w:tab w:val="left" w:pos="1134"/>
        </w:tabs>
        <w:spacing w:before="120" w:after="0"/>
        <w:ind w:firstLine="284"/>
        <w:rPr>
          <w:rFonts w:eastAsiaTheme="majorEastAsia"/>
        </w:rPr>
      </w:pPr>
    </w:p>
    <w:sectPr w:rsidR="00011652" w:rsidRPr="003967AF" w:rsidSect="00ED36B9">
      <w:type w:val="continuous"/>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6A74" w:rsidRDefault="00456A74" w:rsidP="00CD183E">
      <w:r>
        <w:separator/>
      </w:r>
    </w:p>
  </w:endnote>
  <w:endnote w:type="continuationSeparator" w:id="0">
    <w:p w:rsidR="00456A74" w:rsidRDefault="00456A74" w:rsidP="00CD183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EE"/>
    <w:family w:val="roman"/>
    <w:pitch w:val="variable"/>
    <w:sig w:usb0="E0000287" w:usb1="40000013" w:usb2="00000000"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Book Antiqua">
    <w:panose1 w:val="02040602050305030304"/>
    <w:charset w:val="EE"/>
    <w:family w:val="roman"/>
    <w:pitch w:val="variable"/>
    <w:sig w:usb0="00000287" w:usb1="00000000" w:usb2="00000000" w:usb3="00000000" w:csb0="000000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1F42" w:rsidRPr="00E15A83" w:rsidRDefault="00921F42" w:rsidP="00321C19">
    <w:pPr>
      <w:pStyle w:val="Zpat"/>
      <w:tabs>
        <w:tab w:val="left" w:pos="3420"/>
      </w:tabs>
      <w:rPr>
        <w:lang w:val="en-US"/>
      </w:rPr>
    </w:pPr>
    <w:r>
      <w:t>ČVUT FD</w:t>
    </w:r>
    <w:r>
      <w:tab/>
    </w:r>
    <w:r>
      <w:tab/>
    </w:r>
    <w:fldSimple w:instr=" PAGE  \* ROMAN  \* MERGEFORMAT ">
      <w:r w:rsidR="007B5374">
        <w:rPr>
          <w:noProof/>
        </w:rPr>
        <w:t>I</w:t>
      </w:r>
    </w:fldSimple>
    <w:r>
      <w:t xml:space="preserve"> </w:t>
    </w:r>
    <w:r>
      <w:tab/>
    </w:r>
    <w:fldSimple w:instr=" FILENAME   \* MERGEFORMAT ">
      <w:r>
        <w:rPr>
          <w:noProof/>
        </w:rPr>
        <w:t>CVUTFDZprava</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1F42" w:rsidRPr="00E15A83" w:rsidRDefault="00921F42" w:rsidP="00321C19">
    <w:pPr>
      <w:pStyle w:val="Zpat"/>
      <w:tabs>
        <w:tab w:val="left" w:pos="3420"/>
      </w:tabs>
      <w:rPr>
        <w:lang w:val="en-US"/>
      </w:rPr>
    </w:pPr>
    <w:r>
      <w:t>ČVUT FD K620</w:t>
    </w:r>
    <w:r>
      <w:tab/>
    </w:r>
    <w:r>
      <w:tab/>
    </w:r>
    <w:fldSimple w:instr=" PAGE  \* Arabic  \* MERGEFORMAT ">
      <w:r w:rsidR="007B5374">
        <w:rPr>
          <w:noProof/>
        </w:rPr>
        <w:t>13</w:t>
      </w:r>
    </w:fldSimple>
    <w:r>
      <w:t xml:space="preserve"> </w:t>
    </w:r>
    <w:r>
      <w:tab/>
    </w:r>
    <w:fldSimple w:instr=" FILENAME   \* MERGEFORMAT ">
      <w:r>
        <w:rPr>
          <w:noProof/>
        </w:rPr>
        <w:t>CVUTFDZprava</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6A74" w:rsidRDefault="00456A74" w:rsidP="00CD183E">
      <w:r>
        <w:separator/>
      </w:r>
    </w:p>
  </w:footnote>
  <w:footnote w:type="continuationSeparator" w:id="0">
    <w:p w:rsidR="00456A74" w:rsidRDefault="00456A74" w:rsidP="00CD183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1F42" w:rsidRDefault="00921F42" w:rsidP="001024FD">
    <w:pPr>
      <w:pStyle w:val="Zhlav"/>
      <w:ind w:left="-1417" w:firstLine="0"/>
    </w:pPr>
    <w:r>
      <w:rPr>
        <w:noProof/>
      </w:rPr>
      <w:drawing>
        <wp:inline distT="0" distB="0" distL="0" distR="0">
          <wp:extent cx="7564755" cy="10664190"/>
          <wp:effectExtent l="19050" t="0" r="0" b="0"/>
          <wp:docPr id="2" name="obrázek 2" descr="sabA4-bez tex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bA4-bez textu"/>
                  <pic:cNvPicPr>
                    <a:picLocks noChangeAspect="1" noChangeArrowheads="1"/>
                  </pic:cNvPicPr>
                </pic:nvPicPr>
                <pic:blipFill>
                  <a:blip r:embed="rId1"/>
                  <a:srcRect/>
                  <a:stretch>
                    <a:fillRect/>
                  </a:stretch>
                </pic:blipFill>
                <pic:spPr bwMode="auto">
                  <a:xfrm>
                    <a:off x="0" y="0"/>
                    <a:ext cx="7564755" cy="1066419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1F42" w:rsidRPr="008317A1" w:rsidRDefault="00921F42" w:rsidP="005F6891">
    <w:pPr>
      <w:pStyle w:val="Zhlav"/>
      <w:ind w:firstLine="0"/>
      <w:jc w:val="center"/>
      <w:rPr>
        <w:sz w:val="22"/>
      </w:rPr>
    </w:pPr>
    <w:r w:rsidRPr="008317A1">
      <w:rPr>
        <w:sz w:val="22"/>
      </w:rPr>
      <w:t>Studie existujících systémů pro monitorování a řízení přepravy nebezpečných věcí v zemích EU</w:t>
    </w:r>
  </w:p>
  <w:p w:rsidR="00921F42" w:rsidRPr="00E15A83" w:rsidRDefault="00921F42" w:rsidP="00E15A83">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B1EB582"/>
    <w:lvl w:ilvl="0">
      <w:start w:val="1"/>
      <w:numFmt w:val="decimal"/>
      <w:lvlText w:val="%1."/>
      <w:lvlJc w:val="left"/>
      <w:pPr>
        <w:tabs>
          <w:tab w:val="num" w:pos="1492"/>
        </w:tabs>
        <w:ind w:left="1492" w:hanging="360"/>
      </w:pPr>
    </w:lvl>
  </w:abstractNum>
  <w:abstractNum w:abstractNumId="1">
    <w:nsid w:val="FFFFFF7D"/>
    <w:multiLevelType w:val="singleLevel"/>
    <w:tmpl w:val="542CA230"/>
    <w:lvl w:ilvl="0">
      <w:start w:val="1"/>
      <w:numFmt w:val="decimal"/>
      <w:lvlText w:val="%1."/>
      <w:lvlJc w:val="left"/>
      <w:pPr>
        <w:tabs>
          <w:tab w:val="num" w:pos="1209"/>
        </w:tabs>
        <w:ind w:left="1209" w:hanging="360"/>
      </w:pPr>
    </w:lvl>
  </w:abstractNum>
  <w:abstractNum w:abstractNumId="2">
    <w:nsid w:val="FFFFFF7E"/>
    <w:multiLevelType w:val="singleLevel"/>
    <w:tmpl w:val="7036445E"/>
    <w:lvl w:ilvl="0">
      <w:start w:val="1"/>
      <w:numFmt w:val="decimal"/>
      <w:lvlText w:val="%1."/>
      <w:lvlJc w:val="left"/>
      <w:pPr>
        <w:tabs>
          <w:tab w:val="num" w:pos="926"/>
        </w:tabs>
        <w:ind w:left="926" w:hanging="360"/>
      </w:pPr>
    </w:lvl>
  </w:abstractNum>
  <w:abstractNum w:abstractNumId="3">
    <w:nsid w:val="FFFFFF7F"/>
    <w:multiLevelType w:val="singleLevel"/>
    <w:tmpl w:val="3498F4FE"/>
    <w:lvl w:ilvl="0">
      <w:start w:val="1"/>
      <w:numFmt w:val="decimal"/>
      <w:lvlText w:val="%1."/>
      <w:lvlJc w:val="left"/>
      <w:pPr>
        <w:tabs>
          <w:tab w:val="num" w:pos="643"/>
        </w:tabs>
        <w:ind w:left="643" w:hanging="360"/>
      </w:pPr>
    </w:lvl>
  </w:abstractNum>
  <w:abstractNum w:abstractNumId="4">
    <w:nsid w:val="FFFFFF88"/>
    <w:multiLevelType w:val="singleLevel"/>
    <w:tmpl w:val="861C7FFA"/>
    <w:lvl w:ilvl="0">
      <w:start w:val="1"/>
      <w:numFmt w:val="decimal"/>
      <w:lvlText w:val="%1."/>
      <w:lvlJc w:val="left"/>
      <w:pPr>
        <w:tabs>
          <w:tab w:val="num" w:pos="360"/>
        </w:tabs>
        <w:ind w:left="360" w:hanging="360"/>
      </w:pPr>
    </w:lvl>
  </w:abstractNum>
  <w:abstractNum w:abstractNumId="5">
    <w:nsid w:val="FFFFFF89"/>
    <w:multiLevelType w:val="singleLevel"/>
    <w:tmpl w:val="31F27536"/>
    <w:lvl w:ilvl="0">
      <w:start w:val="1"/>
      <w:numFmt w:val="bullet"/>
      <w:lvlText w:val=""/>
      <w:lvlJc w:val="left"/>
      <w:pPr>
        <w:tabs>
          <w:tab w:val="num" w:pos="360"/>
        </w:tabs>
        <w:ind w:left="360" w:hanging="360"/>
      </w:pPr>
      <w:rPr>
        <w:rFonts w:ascii="Symbol" w:hAnsi="Symbol" w:hint="default"/>
      </w:rPr>
    </w:lvl>
  </w:abstractNum>
  <w:abstractNum w:abstractNumId="6">
    <w:nsid w:val="00642959"/>
    <w:multiLevelType w:val="hybridMultilevel"/>
    <w:tmpl w:val="E758D4C0"/>
    <w:lvl w:ilvl="0" w:tplc="04050001">
      <w:start w:val="1"/>
      <w:numFmt w:val="bullet"/>
      <w:lvlText w:val=""/>
      <w:lvlJc w:val="left"/>
      <w:pPr>
        <w:ind w:left="1220" w:hanging="360"/>
      </w:pPr>
      <w:rPr>
        <w:rFonts w:ascii="Symbol" w:hAnsi="Symbol" w:hint="default"/>
      </w:rPr>
    </w:lvl>
    <w:lvl w:ilvl="1" w:tplc="04050003" w:tentative="1">
      <w:start w:val="1"/>
      <w:numFmt w:val="bullet"/>
      <w:lvlText w:val="o"/>
      <w:lvlJc w:val="left"/>
      <w:pPr>
        <w:ind w:left="1940" w:hanging="360"/>
      </w:pPr>
      <w:rPr>
        <w:rFonts w:ascii="Courier New" w:hAnsi="Courier New" w:cs="Courier New" w:hint="default"/>
      </w:rPr>
    </w:lvl>
    <w:lvl w:ilvl="2" w:tplc="04050005" w:tentative="1">
      <w:start w:val="1"/>
      <w:numFmt w:val="bullet"/>
      <w:lvlText w:val=""/>
      <w:lvlJc w:val="left"/>
      <w:pPr>
        <w:ind w:left="2660" w:hanging="360"/>
      </w:pPr>
      <w:rPr>
        <w:rFonts w:ascii="Wingdings" w:hAnsi="Wingdings" w:hint="default"/>
      </w:rPr>
    </w:lvl>
    <w:lvl w:ilvl="3" w:tplc="04050001" w:tentative="1">
      <w:start w:val="1"/>
      <w:numFmt w:val="bullet"/>
      <w:lvlText w:val=""/>
      <w:lvlJc w:val="left"/>
      <w:pPr>
        <w:ind w:left="3380" w:hanging="360"/>
      </w:pPr>
      <w:rPr>
        <w:rFonts w:ascii="Symbol" w:hAnsi="Symbol" w:hint="default"/>
      </w:rPr>
    </w:lvl>
    <w:lvl w:ilvl="4" w:tplc="04050003" w:tentative="1">
      <w:start w:val="1"/>
      <w:numFmt w:val="bullet"/>
      <w:lvlText w:val="o"/>
      <w:lvlJc w:val="left"/>
      <w:pPr>
        <w:ind w:left="4100" w:hanging="360"/>
      </w:pPr>
      <w:rPr>
        <w:rFonts w:ascii="Courier New" w:hAnsi="Courier New" w:cs="Courier New" w:hint="default"/>
      </w:rPr>
    </w:lvl>
    <w:lvl w:ilvl="5" w:tplc="04050005" w:tentative="1">
      <w:start w:val="1"/>
      <w:numFmt w:val="bullet"/>
      <w:lvlText w:val=""/>
      <w:lvlJc w:val="left"/>
      <w:pPr>
        <w:ind w:left="4820" w:hanging="360"/>
      </w:pPr>
      <w:rPr>
        <w:rFonts w:ascii="Wingdings" w:hAnsi="Wingdings" w:hint="default"/>
      </w:rPr>
    </w:lvl>
    <w:lvl w:ilvl="6" w:tplc="04050001" w:tentative="1">
      <w:start w:val="1"/>
      <w:numFmt w:val="bullet"/>
      <w:lvlText w:val=""/>
      <w:lvlJc w:val="left"/>
      <w:pPr>
        <w:ind w:left="5540" w:hanging="360"/>
      </w:pPr>
      <w:rPr>
        <w:rFonts w:ascii="Symbol" w:hAnsi="Symbol" w:hint="default"/>
      </w:rPr>
    </w:lvl>
    <w:lvl w:ilvl="7" w:tplc="04050003" w:tentative="1">
      <w:start w:val="1"/>
      <w:numFmt w:val="bullet"/>
      <w:lvlText w:val="o"/>
      <w:lvlJc w:val="left"/>
      <w:pPr>
        <w:ind w:left="6260" w:hanging="360"/>
      </w:pPr>
      <w:rPr>
        <w:rFonts w:ascii="Courier New" w:hAnsi="Courier New" w:cs="Courier New" w:hint="default"/>
      </w:rPr>
    </w:lvl>
    <w:lvl w:ilvl="8" w:tplc="04050005" w:tentative="1">
      <w:start w:val="1"/>
      <w:numFmt w:val="bullet"/>
      <w:lvlText w:val=""/>
      <w:lvlJc w:val="left"/>
      <w:pPr>
        <w:ind w:left="6980" w:hanging="360"/>
      </w:pPr>
      <w:rPr>
        <w:rFonts w:ascii="Wingdings" w:hAnsi="Wingdings" w:hint="default"/>
      </w:rPr>
    </w:lvl>
  </w:abstractNum>
  <w:abstractNum w:abstractNumId="7">
    <w:nsid w:val="00E27FEE"/>
    <w:multiLevelType w:val="hybridMultilevel"/>
    <w:tmpl w:val="82EE50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05485758"/>
    <w:multiLevelType w:val="hybridMultilevel"/>
    <w:tmpl w:val="46F0DCDE"/>
    <w:lvl w:ilvl="0" w:tplc="E9B203A6">
      <w:start w:val="1"/>
      <w:numFmt w:val="decimal"/>
      <w:lvlText w:val="%1."/>
      <w:lvlJc w:val="left"/>
      <w:pPr>
        <w:ind w:left="1429" w:hanging="360"/>
      </w:pPr>
    </w:lvl>
    <w:lvl w:ilvl="1" w:tplc="04050003" w:tentative="1">
      <w:start w:val="1"/>
      <w:numFmt w:val="lowerLetter"/>
      <w:lvlText w:val="%2."/>
      <w:lvlJc w:val="left"/>
      <w:pPr>
        <w:ind w:left="2149" w:hanging="360"/>
      </w:pPr>
    </w:lvl>
    <w:lvl w:ilvl="2" w:tplc="04050005" w:tentative="1">
      <w:start w:val="1"/>
      <w:numFmt w:val="lowerRoman"/>
      <w:lvlText w:val="%3."/>
      <w:lvlJc w:val="right"/>
      <w:pPr>
        <w:ind w:left="2869" w:hanging="180"/>
      </w:pPr>
    </w:lvl>
    <w:lvl w:ilvl="3" w:tplc="04050001" w:tentative="1">
      <w:start w:val="1"/>
      <w:numFmt w:val="decimal"/>
      <w:lvlText w:val="%4."/>
      <w:lvlJc w:val="left"/>
      <w:pPr>
        <w:ind w:left="3589" w:hanging="360"/>
      </w:pPr>
    </w:lvl>
    <w:lvl w:ilvl="4" w:tplc="04050003" w:tentative="1">
      <w:start w:val="1"/>
      <w:numFmt w:val="lowerLetter"/>
      <w:lvlText w:val="%5."/>
      <w:lvlJc w:val="left"/>
      <w:pPr>
        <w:ind w:left="4309" w:hanging="360"/>
      </w:pPr>
    </w:lvl>
    <w:lvl w:ilvl="5" w:tplc="04050005" w:tentative="1">
      <w:start w:val="1"/>
      <w:numFmt w:val="lowerRoman"/>
      <w:lvlText w:val="%6."/>
      <w:lvlJc w:val="right"/>
      <w:pPr>
        <w:ind w:left="5029" w:hanging="180"/>
      </w:pPr>
    </w:lvl>
    <w:lvl w:ilvl="6" w:tplc="04050001" w:tentative="1">
      <w:start w:val="1"/>
      <w:numFmt w:val="decimal"/>
      <w:lvlText w:val="%7."/>
      <w:lvlJc w:val="left"/>
      <w:pPr>
        <w:ind w:left="5749" w:hanging="360"/>
      </w:pPr>
    </w:lvl>
    <w:lvl w:ilvl="7" w:tplc="04050003" w:tentative="1">
      <w:start w:val="1"/>
      <w:numFmt w:val="lowerLetter"/>
      <w:lvlText w:val="%8."/>
      <w:lvlJc w:val="left"/>
      <w:pPr>
        <w:ind w:left="6469" w:hanging="360"/>
      </w:pPr>
    </w:lvl>
    <w:lvl w:ilvl="8" w:tplc="04050005" w:tentative="1">
      <w:start w:val="1"/>
      <w:numFmt w:val="lowerRoman"/>
      <w:lvlText w:val="%9."/>
      <w:lvlJc w:val="right"/>
      <w:pPr>
        <w:ind w:left="7189" w:hanging="180"/>
      </w:pPr>
    </w:lvl>
  </w:abstractNum>
  <w:abstractNum w:abstractNumId="9">
    <w:nsid w:val="0C363550"/>
    <w:multiLevelType w:val="hybridMultilevel"/>
    <w:tmpl w:val="F24022D2"/>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0">
    <w:nsid w:val="0EEB6EA7"/>
    <w:multiLevelType w:val="hybridMultilevel"/>
    <w:tmpl w:val="7C22B40E"/>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0F224182"/>
    <w:multiLevelType w:val="multilevel"/>
    <w:tmpl w:val="A24A5AC2"/>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0523A1F"/>
    <w:multiLevelType w:val="hybridMultilevel"/>
    <w:tmpl w:val="C8C0288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11510E18"/>
    <w:multiLevelType w:val="multilevel"/>
    <w:tmpl w:val="040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nsid w:val="141F22BD"/>
    <w:multiLevelType w:val="multilevel"/>
    <w:tmpl w:val="0405001F"/>
    <w:styleLink w:val="vlik"/>
    <w:lvl w:ilvl="0">
      <w:start w:val="1"/>
      <w:numFmt w:val="decimal"/>
      <w:lvlText w:val="%1."/>
      <w:lvlJc w:val="left"/>
      <w:pPr>
        <w:ind w:left="360" w:hanging="360"/>
      </w:pPr>
      <w:rPr>
        <w:rFonts w:ascii="Courier New" w:hAnsi="Courier New"/>
        <w:b/>
        <w:sz w:val="3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14F2339F"/>
    <w:multiLevelType w:val="hybridMultilevel"/>
    <w:tmpl w:val="37CE3C2C"/>
    <w:lvl w:ilvl="0" w:tplc="04050001">
      <w:start w:val="1"/>
      <w:numFmt w:val="bullet"/>
      <w:lvlText w:val=""/>
      <w:lvlJc w:val="left"/>
      <w:pPr>
        <w:ind w:left="717" w:hanging="360"/>
      </w:pPr>
      <w:rPr>
        <w:rFonts w:ascii="Symbol" w:hAnsi="Symbol" w:hint="default"/>
      </w:rPr>
    </w:lvl>
    <w:lvl w:ilvl="1" w:tplc="04050003" w:tentative="1">
      <w:start w:val="1"/>
      <w:numFmt w:val="bullet"/>
      <w:lvlText w:val="o"/>
      <w:lvlJc w:val="left"/>
      <w:pPr>
        <w:ind w:left="717" w:hanging="360"/>
      </w:pPr>
      <w:rPr>
        <w:rFonts w:ascii="Courier New" w:hAnsi="Courier New" w:cs="Courier New" w:hint="default"/>
      </w:rPr>
    </w:lvl>
    <w:lvl w:ilvl="2" w:tplc="04050005" w:tentative="1">
      <w:start w:val="1"/>
      <w:numFmt w:val="bullet"/>
      <w:lvlText w:val=""/>
      <w:lvlJc w:val="left"/>
      <w:pPr>
        <w:ind w:left="1437" w:hanging="360"/>
      </w:pPr>
      <w:rPr>
        <w:rFonts w:ascii="Wingdings" w:hAnsi="Wingdings" w:hint="default"/>
      </w:rPr>
    </w:lvl>
    <w:lvl w:ilvl="3" w:tplc="04050001" w:tentative="1">
      <w:start w:val="1"/>
      <w:numFmt w:val="bullet"/>
      <w:lvlText w:val=""/>
      <w:lvlJc w:val="left"/>
      <w:pPr>
        <w:ind w:left="2157" w:hanging="360"/>
      </w:pPr>
      <w:rPr>
        <w:rFonts w:ascii="Symbol" w:hAnsi="Symbol" w:hint="default"/>
      </w:rPr>
    </w:lvl>
    <w:lvl w:ilvl="4" w:tplc="04050003" w:tentative="1">
      <w:start w:val="1"/>
      <w:numFmt w:val="bullet"/>
      <w:lvlText w:val="o"/>
      <w:lvlJc w:val="left"/>
      <w:pPr>
        <w:ind w:left="2877" w:hanging="360"/>
      </w:pPr>
      <w:rPr>
        <w:rFonts w:ascii="Courier New" w:hAnsi="Courier New" w:cs="Courier New" w:hint="default"/>
      </w:rPr>
    </w:lvl>
    <w:lvl w:ilvl="5" w:tplc="04050005" w:tentative="1">
      <w:start w:val="1"/>
      <w:numFmt w:val="bullet"/>
      <w:lvlText w:val=""/>
      <w:lvlJc w:val="left"/>
      <w:pPr>
        <w:ind w:left="3597" w:hanging="360"/>
      </w:pPr>
      <w:rPr>
        <w:rFonts w:ascii="Wingdings" w:hAnsi="Wingdings" w:hint="default"/>
      </w:rPr>
    </w:lvl>
    <w:lvl w:ilvl="6" w:tplc="04050001" w:tentative="1">
      <w:start w:val="1"/>
      <w:numFmt w:val="bullet"/>
      <w:lvlText w:val=""/>
      <w:lvlJc w:val="left"/>
      <w:pPr>
        <w:ind w:left="4317" w:hanging="360"/>
      </w:pPr>
      <w:rPr>
        <w:rFonts w:ascii="Symbol" w:hAnsi="Symbol" w:hint="default"/>
      </w:rPr>
    </w:lvl>
    <w:lvl w:ilvl="7" w:tplc="04050003" w:tentative="1">
      <w:start w:val="1"/>
      <w:numFmt w:val="bullet"/>
      <w:lvlText w:val="o"/>
      <w:lvlJc w:val="left"/>
      <w:pPr>
        <w:ind w:left="5037" w:hanging="360"/>
      </w:pPr>
      <w:rPr>
        <w:rFonts w:ascii="Courier New" w:hAnsi="Courier New" w:cs="Courier New" w:hint="default"/>
      </w:rPr>
    </w:lvl>
    <w:lvl w:ilvl="8" w:tplc="04050005" w:tentative="1">
      <w:start w:val="1"/>
      <w:numFmt w:val="bullet"/>
      <w:lvlText w:val=""/>
      <w:lvlJc w:val="left"/>
      <w:pPr>
        <w:ind w:left="5757" w:hanging="360"/>
      </w:pPr>
      <w:rPr>
        <w:rFonts w:ascii="Wingdings" w:hAnsi="Wingdings" w:hint="default"/>
      </w:rPr>
    </w:lvl>
  </w:abstractNum>
  <w:abstractNum w:abstractNumId="16">
    <w:nsid w:val="16BB319B"/>
    <w:multiLevelType w:val="hybridMultilevel"/>
    <w:tmpl w:val="95C08DA4"/>
    <w:lvl w:ilvl="0" w:tplc="A3E03748">
      <w:start w:val="1"/>
      <w:numFmt w:val="bullet"/>
      <w:lvlText w:val=""/>
      <w:lvlJc w:val="left"/>
      <w:pPr>
        <w:ind w:left="1151" w:hanging="360"/>
      </w:pPr>
      <w:rPr>
        <w:rFonts w:ascii="Symbol" w:hAnsi="Symbol" w:hint="default"/>
      </w:rPr>
    </w:lvl>
    <w:lvl w:ilvl="1" w:tplc="347CE7CC" w:tentative="1">
      <w:start w:val="1"/>
      <w:numFmt w:val="bullet"/>
      <w:lvlText w:val="o"/>
      <w:lvlJc w:val="left"/>
      <w:pPr>
        <w:ind w:left="1871" w:hanging="360"/>
      </w:pPr>
      <w:rPr>
        <w:rFonts w:ascii="Courier New" w:hAnsi="Courier New" w:cs="Courier New" w:hint="default"/>
      </w:rPr>
    </w:lvl>
    <w:lvl w:ilvl="2" w:tplc="338A8A9C" w:tentative="1">
      <w:start w:val="1"/>
      <w:numFmt w:val="bullet"/>
      <w:lvlText w:val=""/>
      <w:lvlJc w:val="left"/>
      <w:pPr>
        <w:ind w:left="2591" w:hanging="360"/>
      </w:pPr>
      <w:rPr>
        <w:rFonts w:ascii="Wingdings" w:hAnsi="Wingdings" w:hint="default"/>
      </w:rPr>
    </w:lvl>
    <w:lvl w:ilvl="3" w:tplc="EF1A51C6" w:tentative="1">
      <w:start w:val="1"/>
      <w:numFmt w:val="bullet"/>
      <w:lvlText w:val=""/>
      <w:lvlJc w:val="left"/>
      <w:pPr>
        <w:ind w:left="3311" w:hanging="360"/>
      </w:pPr>
      <w:rPr>
        <w:rFonts w:ascii="Symbol" w:hAnsi="Symbol" w:hint="default"/>
      </w:rPr>
    </w:lvl>
    <w:lvl w:ilvl="4" w:tplc="96B2CAF8" w:tentative="1">
      <w:start w:val="1"/>
      <w:numFmt w:val="bullet"/>
      <w:lvlText w:val="o"/>
      <w:lvlJc w:val="left"/>
      <w:pPr>
        <w:ind w:left="4031" w:hanging="360"/>
      </w:pPr>
      <w:rPr>
        <w:rFonts w:ascii="Courier New" w:hAnsi="Courier New" w:cs="Courier New" w:hint="default"/>
      </w:rPr>
    </w:lvl>
    <w:lvl w:ilvl="5" w:tplc="2F089790" w:tentative="1">
      <w:start w:val="1"/>
      <w:numFmt w:val="bullet"/>
      <w:lvlText w:val=""/>
      <w:lvlJc w:val="left"/>
      <w:pPr>
        <w:ind w:left="4751" w:hanging="360"/>
      </w:pPr>
      <w:rPr>
        <w:rFonts w:ascii="Wingdings" w:hAnsi="Wingdings" w:hint="default"/>
      </w:rPr>
    </w:lvl>
    <w:lvl w:ilvl="6" w:tplc="D772B54A" w:tentative="1">
      <w:start w:val="1"/>
      <w:numFmt w:val="bullet"/>
      <w:lvlText w:val=""/>
      <w:lvlJc w:val="left"/>
      <w:pPr>
        <w:ind w:left="5471" w:hanging="360"/>
      </w:pPr>
      <w:rPr>
        <w:rFonts w:ascii="Symbol" w:hAnsi="Symbol" w:hint="default"/>
      </w:rPr>
    </w:lvl>
    <w:lvl w:ilvl="7" w:tplc="4CA4A83A" w:tentative="1">
      <w:start w:val="1"/>
      <w:numFmt w:val="bullet"/>
      <w:lvlText w:val="o"/>
      <w:lvlJc w:val="left"/>
      <w:pPr>
        <w:ind w:left="6191" w:hanging="360"/>
      </w:pPr>
      <w:rPr>
        <w:rFonts w:ascii="Courier New" w:hAnsi="Courier New" w:cs="Courier New" w:hint="default"/>
      </w:rPr>
    </w:lvl>
    <w:lvl w:ilvl="8" w:tplc="6C78D868" w:tentative="1">
      <w:start w:val="1"/>
      <w:numFmt w:val="bullet"/>
      <w:lvlText w:val=""/>
      <w:lvlJc w:val="left"/>
      <w:pPr>
        <w:ind w:left="6911" w:hanging="360"/>
      </w:pPr>
      <w:rPr>
        <w:rFonts w:ascii="Wingdings" w:hAnsi="Wingdings" w:hint="default"/>
      </w:rPr>
    </w:lvl>
  </w:abstractNum>
  <w:abstractNum w:abstractNumId="17">
    <w:nsid w:val="20077621"/>
    <w:multiLevelType w:val="multilevel"/>
    <w:tmpl w:val="A24A5AC2"/>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29974BDF"/>
    <w:multiLevelType w:val="hybridMultilevel"/>
    <w:tmpl w:val="DD48BDD6"/>
    <w:lvl w:ilvl="0" w:tplc="F61AFBE8">
      <w:start w:val="1"/>
      <w:numFmt w:val="bullet"/>
      <w:lvlText w:val=""/>
      <w:lvlJc w:val="left"/>
      <w:pPr>
        <w:ind w:left="1151" w:hanging="360"/>
      </w:pPr>
      <w:rPr>
        <w:rFonts w:ascii="Symbol" w:hAnsi="Symbol" w:hint="default"/>
      </w:rPr>
    </w:lvl>
    <w:lvl w:ilvl="1" w:tplc="950A2BC0" w:tentative="1">
      <w:start w:val="1"/>
      <w:numFmt w:val="bullet"/>
      <w:lvlText w:val="o"/>
      <w:lvlJc w:val="left"/>
      <w:pPr>
        <w:ind w:left="1871" w:hanging="360"/>
      </w:pPr>
      <w:rPr>
        <w:rFonts w:ascii="Courier New" w:hAnsi="Courier New" w:cs="Courier New" w:hint="default"/>
      </w:rPr>
    </w:lvl>
    <w:lvl w:ilvl="2" w:tplc="C012F4EE" w:tentative="1">
      <w:start w:val="1"/>
      <w:numFmt w:val="bullet"/>
      <w:lvlText w:val=""/>
      <w:lvlJc w:val="left"/>
      <w:pPr>
        <w:ind w:left="2591" w:hanging="360"/>
      </w:pPr>
      <w:rPr>
        <w:rFonts w:ascii="Wingdings" w:hAnsi="Wingdings" w:hint="default"/>
      </w:rPr>
    </w:lvl>
    <w:lvl w:ilvl="3" w:tplc="EE6C3294" w:tentative="1">
      <w:start w:val="1"/>
      <w:numFmt w:val="bullet"/>
      <w:lvlText w:val=""/>
      <w:lvlJc w:val="left"/>
      <w:pPr>
        <w:ind w:left="3311" w:hanging="360"/>
      </w:pPr>
      <w:rPr>
        <w:rFonts w:ascii="Symbol" w:hAnsi="Symbol" w:hint="default"/>
      </w:rPr>
    </w:lvl>
    <w:lvl w:ilvl="4" w:tplc="A404AA86" w:tentative="1">
      <w:start w:val="1"/>
      <w:numFmt w:val="bullet"/>
      <w:lvlText w:val="o"/>
      <w:lvlJc w:val="left"/>
      <w:pPr>
        <w:ind w:left="4031" w:hanging="360"/>
      </w:pPr>
      <w:rPr>
        <w:rFonts w:ascii="Courier New" w:hAnsi="Courier New" w:cs="Courier New" w:hint="default"/>
      </w:rPr>
    </w:lvl>
    <w:lvl w:ilvl="5" w:tplc="72046160" w:tentative="1">
      <w:start w:val="1"/>
      <w:numFmt w:val="bullet"/>
      <w:lvlText w:val=""/>
      <w:lvlJc w:val="left"/>
      <w:pPr>
        <w:ind w:left="4751" w:hanging="360"/>
      </w:pPr>
      <w:rPr>
        <w:rFonts w:ascii="Wingdings" w:hAnsi="Wingdings" w:hint="default"/>
      </w:rPr>
    </w:lvl>
    <w:lvl w:ilvl="6" w:tplc="FDD8D912" w:tentative="1">
      <w:start w:val="1"/>
      <w:numFmt w:val="bullet"/>
      <w:lvlText w:val=""/>
      <w:lvlJc w:val="left"/>
      <w:pPr>
        <w:ind w:left="5471" w:hanging="360"/>
      </w:pPr>
      <w:rPr>
        <w:rFonts w:ascii="Symbol" w:hAnsi="Symbol" w:hint="default"/>
      </w:rPr>
    </w:lvl>
    <w:lvl w:ilvl="7" w:tplc="47C0289E" w:tentative="1">
      <w:start w:val="1"/>
      <w:numFmt w:val="bullet"/>
      <w:lvlText w:val="o"/>
      <w:lvlJc w:val="left"/>
      <w:pPr>
        <w:ind w:left="6191" w:hanging="360"/>
      </w:pPr>
      <w:rPr>
        <w:rFonts w:ascii="Courier New" w:hAnsi="Courier New" w:cs="Courier New" w:hint="default"/>
      </w:rPr>
    </w:lvl>
    <w:lvl w:ilvl="8" w:tplc="A6768D92" w:tentative="1">
      <w:start w:val="1"/>
      <w:numFmt w:val="bullet"/>
      <w:lvlText w:val=""/>
      <w:lvlJc w:val="left"/>
      <w:pPr>
        <w:ind w:left="6911" w:hanging="360"/>
      </w:pPr>
      <w:rPr>
        <w:rFonts w:ascii="Wingdings" w:hAnsi="Wingdings" w:hint="default"/>
      </w:rPr>
    </w:lvl>
  </w:abstractNum>
  <w:abstractNum w:abstractNumId="19">
    <w:nsid w:val="2FAF064F"/>
    <w:multiLevelType w:val="hybridMultilevel"/>
    <w:tmpl w:val="71C04EFC"/>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20">
    <w:nsid w:val="34BD75C6"/>
    <w:multiLevelType w:val="hybridMultilevel"/>
    <w:tmpl w:val="6BA88ED6"/>
    <w:lvl w:ilvl="0" w:tplc="74A688A8">
      <w:start w:val="1"/>
      <w:numFmt w:val="bullet"/>
      <w:lvlText w:val=""/>
      <w:lvlJc w:val="left"/>
      <w:pPr>
        <w:ind w:left="720" w:hanging="360"/>
      </w:pPr>
      <w:rPr>
        <w:rFonts w:ascii="Symbol" w:hAnsi="Symbol" w:hint="default"/>
      </w:rPr>
    </w:lvl>
    <w:lvl w:ilvl="1" w:tplc="F6E2CD12">
      <w:numFmt w:val="bullet"/>
      <w:lvlText w:val="-"/>
      <w:lvlJc w:val="left"/>
      <w:pPr>
        <w:ind w:left="1440" w:hanging="360"/>
      </w:pPr>
      <w:rPr>
        <w:rFonts w:ascii="Times New Roman" w:eastAsia="Times New Roman" w:hAnsi="Times New Roman" w:cs="Times New Roman" w:hint="default"/>
      </w:rPr>
    </w:lvl>
    <w:lvl w:ilvl="2" w:tplc="C1241AFC" w:tentative="1">
      <w:start w:val="1"/>
      <w:numFmt w:val="bullet"/>
      <w:lvlText w:val=""/>
      <w:lvlJc w:val="left"/>
      <w:pPr>
        <w:ind w:left="2160" w:hanging="360"/>
      </w:pPr>
      <w:rPr>
        <w:rFonts w:ascii="Wingdings" w:hAnsi="Wingdings" w:hint="default"/>
      </w:rPr>
    </w:lvl>
    <w:lvl w:ilvl="3" w:tplc="AAD07C34" w:tentative="1">
      <w:start w:val="1"/>
      <w:numFmt w:val="bullet"/>
      <w:lvlText w:val=""/>
      <w:lvlJc w:val="left"/>
      <w:pPr>
        <w:ind w:left="2880" w:hanging="360"/>
      </w:pPr>
      <w:rPr>
        <w:rFonts w:ascii="Symbol" w:hAnsi="Symbol" w:hint="default"/>
      </w:rPr>
    </w:lvl>
    <w:lvl w:ilvl="4" w:tplc="429CE35E" w:tentative="1">
      <w:start w:val="1"/>
      <w:numFmt w:val="bullet"/>
      <w:lvlText w:val="o"/>
      <w:lvlJc w:val="left"/>
      <w:pPr>
        <w:ind w:left="3600" w:hanging="360"/>
      </w:pPr>
      <w:rPr>
        <w:rFonts w:ascii="Courier New" w:hAnsi="Courier New" w:cs="Courier New" w:hint="default"/>
      </w:rPr>
    </w:lvl>
    <w:lvl w:ilvl="5" w:tplc="496C1078" w:tentative="1">
      <w:start w:val="1"/>
      <w:numFmt w:val="bullet"/>
      <w:lvlText w:val=""/>
      <w:lvlJc w:val="left"/>
      <w:pPr>
        <w:ind w:left="4320" w:hanging="360"/>
      </w:pPr>
      <w:rPr>
        <w:rFonts w:ascii="Wingdings" w:hAnsi="Wingdings" w:hint="default"/>
      </w:rPr>
    </w:lvl>
    <w:lvl w:ilvl="6" w:tplc="3C223E22" w:tentative="1">
      <w:start w:val="1"/>
      <w:numFmt w:val="bullet"/>
      <w:lvlText w:val=""/>
      <w:lvlJc w:val="left"/>
      <w:pPr>
        <w:ind w:left="5040" w:hanging="360"/>
      </w:pPr>
      <w:rPr>
        <w:rFonts w:ascii="Symbol" w:hAnsi="Symbol" w:hint="default"/>
      </w:rPr>
    </w:lvl>
    <w:lvl w:ilvl="7" w:tplc="0D3E4A18" w:tentative="1">
      <w:start w:val="1"/>
      <w:numFmt w:val="bullet"/>
      <w:lvlText w:val="o"/>
      <w:lvlJc w:val="left"/>
      <w:pPr>
        <w:ind w:left="5760" w:hanging="360"/>
      </w:pPr>
      <w:rPr>
        <w:rFonts w:ascii="Courier New" w:hAnsi="Courier New" w:cs="Courier New" w:hint="default"/>
      </w:rPr>
    </w:lvl>
    <w:lvl w:ilvl="8" w:tplc="05C6DD80" w:tentative="1">
      <w:start w:val="1"/>
      <w:numFmt w:val="bullet"/>
      <w:lvlText w:val=""/>
      <w:lvlJc w:val="left"/>
      <w:pPr>
        <w:ind w:left="6480" w:hanging="360"/>
      </w:pPr>
      <w:rPr>
        <w:rFonts w:ascii="Wingdings" w:hAnsi="Wingdings" w:hint="default"/>
      </w:rPr>
    </w:lvl>
  </w:abstractNum>
  <w:abstractNum w:abstractNumId="21">
    <w:nsid w:val="3B5D1CAB"/>
    <w:multiLevelType w:val="multilevel"/>
    <w:tmpl w:val="124AE162"/>
    <w:lvl w:ilvl="0">
      <w:start w:val="1"/>
      <w:numFmt w:val="decimal"/>
      <w:pStyle w:val="SI-kapitola"/>
      <w:lvlText w:val="Kapitola %1 - "/>
      <w:lvlJc w:val="left"/>
      <w:pPr>
        <w:ind w:left="360" w:hanging="360"/>
      </w:pPr>
      <w:rPr>
        <w:rFonts w:ascii="Palatino Linotype" w:hAnsi="Palatino Linotype" w:hint="default"/>
        <w:b/>
        <w:i w:val="0"/>
        <w:sz w:val="28"/>
      </w:rPr>
    </w:lvl>
    <w:lvl w:ilvl="1">
      <w:start w:val="1"/>
      <w:numFmt w:val="decimal"/>
      <w:pStyle w:val="SI-podkapitola"/>
      <w:suff w:val="space"/>
      <w:lvlText w:val="%1.%2."/>
      <w:lvlJc w:val="left"/>
      <w:pPr>
        <w:ind w:left="792" w:hanging="432"/>
      </w:pPr>
      <w:rPr>
        <w:rFonts w:ascii="Palatino Linotype" w:hAnsi="Palatino Linotype" w:hint="default"/>
        <w:b/>
        <w:i w:val="0"/>
        <w:sz w:val="24"/>
      </w:rPr>
    </w:lvl>
    <w:lvl w:ilvl="2">
      <w:start w:val="1"/>
      <w:numFmt w:val="decimal"/>
      <w:pStyle w:val="SI-podpodkapitola"/>
      <w:suff w:val="space"/>
      <w:lvlText w:val="%1.%2.%3."/>
      <w:lvlJc w:val="left"/>
      <w:pPr>
        <w:ind w:left="1224" w:hanging="504"/>
      </w:pPr>
      <w:rPr>
        <w:rFonts w:ascii="Palatino Linotype" w:hAnsi="Palatino Linotype" w:hint="default"/>
        <w:b/>
        <w:i w:val="0"/>
        <w:sz w:val="22"/>
      </w:rPr>
    </w:lvl>
    <w:lvl w:ilvl="3">
      <w:start w:val="1"/>
      <w:numFmt w:val="decimal"/>
      <w:pStyle w:val="SI-podpodpodkapitola"/>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C0D71AE"/>
    <w:multiLevelType w:val="hybridMultilevel"/>
    <w:tmpl w:val="C734A3BE"/>
    <w:lvl w:ilvl="0" w:tplc="04050001">
      <w:start w:val="1"/>
      <w:numFmt w:val="bullet"/>
      <w:lvlText w:val=""/>
      <w:lvlJc w:val="left"/>
      <w:pPr>
        <w:ind w:left="1151" w:hanging="360"/>
      </w:pPr>
      <w:rPr>
        <w:rFonts w:ascii="Symbol" w:hAnsi="Symbol" w:hint="default"/>
      </w:rPr>
    </w:lvl>
    <w:lvl w:ilvl="1" w:tplc="04050003">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23">
    <w:nsid w:val="42631C46"/>
    <w:multiLevelType w:val="hybridMultilevel"/>
    <w:tmpl w:val="AA54F3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44315F47"/>
    <w:multiLevelType w:val="hybridMultilevel"/>
    <w:tmpl w:val="E81E6A22"/>
    <w:lvl w:ilvl="0" w:tplc="2A5A40F8">
      <w:start w:val="1"/>
      <w:numFmt w:val="bullet"/>
      <w:pStyle w:val="Seznamsodrkami"/>
      <w:lvlText w:val=""/>
      <w:lvlJc w:val="left"/>
      <w:pPr>
        <w:ind w:left="720" w:hanging="360"/>
      </w:pPr>
      <w:rPr>
        <w:rFonts w:ascii="Symbol" w:hAnsi="Symbol" w:hint="default"/>
      </w:rPr>
    </w:lvl>
    <w:lvl w:ilvl="1" w:tplc="C288557C" w:tentative="1">
      <w:start w:val="1"/>
      <w:numFmt w:val="bullet"/>
      <w:lvlText w:val="o"/>
      <w:lvlJc w:val="left"/>
      <w:pPr>
        <w:ind w:left="1440" w:hanging="360"/>
      </w:pPr>
      <w:rPr>
        <w:rFonts w:ascii="Courier New" w:hAnsi="Courier New" w:cs="Courier New" w:hint="default"/>
      </w:rPr>
    </w:lvl>
    <w:lvl w:ilvl="2" w:tplc="CF6026E4" w:tentative="1">
      <w:start w:val="1"/>
      <w:numFmt w:val="bullet"/>
      <w:lvlText w:val=""/>
      <w:lvlJc w:val="left"/>
      <w:pPr>
        <w:ind w:left="2160" w:hanging="360"/>
      </w:pPr>
      <w:rPr>
        <w:rFonts w:ascii="Wingdings" w:hAnsi="Wingdings" w:hint="default"/>
      </w:rPr>
    </w:lvl>
    <w:lvl w:ilvl="3" w:tplc="7642262A" w:tentative="1">
      <w:start w:val="1"/>
      <w:numFmt w:val="bullet"/>
      <w:lvlText w:val=""/>
      <w:lvlJc w:val="left"/>
      <w:pPr>
        <w:ind w:left="2880" w:hanging="360"/>
      </w:pPr>
      <w:rPr>
        <w:rFonts w:ascii="Symbol" w:hAnsi="Symbol" w:hint="default"/>
      </w:rPr>
    </w:lvl>
    <w:lvl w:ilvl="4" w:tplc="91A03B42" w:tentative="1">
      <w:start w:val="1"/>
      <w:numFmt w:val="bullet"/>
      <w:lvlText w:val="o"/>
      <w:lvlJc w:val="left"/>
      <w:pPr>
        <w:ind w:left="3600" w:hanging="360"/>
      </w:pPr>
      <w:rPr>
        <w:rFonts w:ascii="Courier New" w:hAnsi="Courier New" w:cs="Courier New" w:hint="default"/>
      </w:rPr>
    </w:lvl>
    <w:lvl w:ilvl="5" w:tplc="D4461E74" w:tentative="1">
      <w:start w:val="1"/>
      <w:numFmt w:val="bullet"/>
      <w:lvlText w:val=""/>
      <w:lvlJc w:val="left"/>
      <w:pPr>
        <w:ind w:left="4320" w:hanging="360"/>
      </w:pPr>
      <w:rPr>
        <w:rFonts w:ascii="Wingdings" w:hAnsi="Wingdings" w:hint="default"/>
      </w:rPr>
    </w:lvl>
    <w:lvl w:ilvl="6" w:tplc="B54A767C" w:tentative="1">
      <w:start w:val="1"/>
      <w:numFmt w:val="bullet"/>
      <w:lvlText w:val=""/>
      <w:lvlJc w:val="left"/>
      <w:pPr>
        <w:ind w:left="5040" w:hanging="360"/>
      </w:pPr>
      <w:rPr>
        <w:rFonts w:ascii="Symbol" w:hAnsi="Symbol" w:hint="default"/>
      </w:rPr>
    </w:lvl>
    <w:lvl w:ilvl="7" w:tplc="E4868766" w:tentative="1">
      <w:start w:val="1"/>
      <w:numFmt w:val="bullet"/>
      <w:lvlText w:val="o"/>
      <w:lvlJc w:val="left"/>
      <w:pPr>
        <w:ind w:left="5760" w:hanging="360"/>
      </w:pPr>
      <w:rPr>
        <w:rFonts w:ascii="Courier New" w:hAnsi="Courier New" w:cs="Courier New" w:hint="default"/>
      </w:rPr>
    </w:lvl>
    <w:lvl w:ilvl="8" w:tplc="EF6A4DF4" w:tentative="1">
      <w:start w:val="1"/>
      <w:numFmt w:val="bullet"/>
      <w:lvlText w:val=""/>
      <w:lvlJc w:val="left"/>
      <w:pPr>
        <w:ind w:left="6480" w:hanging="360"/>
      </w:pPr>
      <w:rPr>
        <w:rFonts w:ascii="Wingdings" w:hAnsi="Wingdings" w:hint="default"/>
      </w:rPr>
    </w:lvl>
  </w:abstractNum>
  <w:abstractNum w:abstractNumId="25">
    <w:nsid w:val="455F0602"/>
    <w:multiLevelType w:val="hybridMultilevel"/>
    <w:tmpl w:val="60647B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4B861B98"/>
    <w:multiLevelType w:val="hybridMultilevel"/>
    <w:tmpl w:val="17D6B1D4"/>
    <w:lvl w:ilvl="0" w:tplc="8654AA1C">
      <w:start w:val="1"/>
      <w:numFmt w:val="bullet"/>
      <w:pStyle w:val="PHOdrazka"/>
      <w:lvlText w:val=""/>
      <w:lvlJc w:val="left"/>
      <w:pPr>
        <w:ind w:left="720" w:hanging="360"/>
      </w:pPr>
      <w:rPr>
        <w:rFonts w:ascii="Symbol" w:hAnsi="Symbol" w:hint="default"/>
      </w:rPr>
    </w:lvl>
    <w:lvl w:ilvl="1" w:tplc="764E33D2">
      <w:start w:val="1"/>
      <w:numFmt w:val="bullet"/>
      <w:lvlText w:val="o"/>
      <w:lvlJc w:val="left"/>
      <w:pPr>
        <w:ind w:left="1440" w:hanging="360"/>
      </w:pPr>
      <w:rPr>
        <w:rFonts w:ascii="Courier New" w:hAnsi="Courier New" w:cs="Courier New" w:hint="default"/>
      </w:rPr>
    </w:lvl>
    <w:lvl w:ilvl="2" w:tplc="6CB0F6C0">
      <w:start w:val="1"/>
      <w:numFmt w:val="bullet"/>
      <w:lvlText w:val=""/>
      <w:lvlJc w:val="left"/>
      <w:pPr>
        <w:ind w:left="2160" w:hanging="360"/>
      </w:pPr>
      <w:rPr>
        <w:rFonts w:ascii="Wingdings" w:hAnsi="Wingdings" w:hint="default"/>
      </w:rPr>
    </w:lvl>
    <w:lvl w:ilvl="3" w:tplc="EED618B4" w:tentative="1">
      <w:start w:val="1"/>
      <w:numFmt w:val="bullet"/>
      <w:lvlText w:val=""/>
      <w:lvlJc w:val="left"/>
      <w:pPr>
        <w:ind w:left="2880" w:hanging="360"/>
      </w:pPr>
      <w:rPr>
        <w:rFonts w:ascii="Symbol" w:hAnsi="Symbol" w:hint="default"/>
      </w:rPr>
    </w:lvl>
    <w:lvl w:ilvl="4" w:tplc="017677EE" w:tentative="1">
      <w:start w:val="1"/>
      <w:numFmt w:val="bullet"/>
      <w:lvlText w:val="o"/>
      <w:lvlJc w:val="left"/>
      <w:pPr>
        <w:ind w:left="3600" w:hanging="360"/>
      </w:pPr>
      <w:rPr>
        <w:rFonts w:ascii="Courier New" w:hAnsi="Courier New" w:cs="Courier New" w:hint="default"/>
      </w:rPr>
    </w:lvl>
    <w:lvl w:ilvl="5" w:tplc="5088FBA0" w:tentative="1">
      <w:start w:val="1"/>
      <w:numFmt w:val="bullet"/>
      <w:lvlText w:val=""/>
      <w:lvlJc w:val="left"/>
      <w:pPr>
        <w:ind w:left="4320" w:hanging="360"/>
      </w:pPr>
      <w:rPr>
        <w:rFonts w:ascii="Wingdings" w:hAnsi="Wingdings" w:hint="default"/>
      </w:rPr>
    </w:lvl>
    <w:lvl w:ilvl="6" w:tplc="E6C83182" w:tentative="1">
      <w:start w:val="1"/>
      <w:numFmt w:val="bullet"/>
      <w:lvlText w:val=""/>
      <w:lvlJc w:val="left"/>
      <w:pPr>
        <w:ind w:left="5040" w:hanging="360"/>
      </w:pPr>
      <w:rPr>
        <w:rFonts w:ascii="Symbol" w:hAnsi="Symbol" w:hint="default"/>
      </w:rPr>
    </w:lvl>
    <w:lvl w:ilvl="7" w:tplc="ADA4DE1C" w:tentative="1">
      <w:start w:val="1"/>
      <w:numFmt w:val="bullet"/>
      <w:lvlText w:val="o"/>
      <w:lvlJc w:val="left"/>
      <w:pPr>
        <w:ind w:left="5760" w:hanging="360"/>
      </w:pPr>
      <w:rPr>
        <w:rFonts w:ascii="Courier New" w:hAnsi="Courier New" w:cs="Courier New" w:hint="default"/>
      </w:rPr>
    </w:lvl>
    <w:lvl w:ilvl="8" w:tplc="8CB8DE3E" w:tentative="1">
      <w:start w:val="1"/>
      <w:numFmt w:val="bullet"/>
      <w:lvlText w:val=""/>
      <w:lvlJc w:val="left"/>
      <w:pPr>
        <w:ind w:left="6480" w:hanging="360"/>
      </w:pPr>
      <w:rPr>
        <w:rFonts w:ascii="Wingdings" w:hAnsi="Wingdings" w:hint="default"/>
      </w:rPr>
    </w:lvl>
  </w:abstractNum>
  <w:abstractNum w:abstractNumId="27">
    <w:nsid w:val="4E0311B9"/>
    <w:multiLevelType w:val="multilevel"/>
    <w:tmpl w:val="040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nsid w:val="501A46F7"/>
    <w:multiLevelType w:val="hybridMultilevel"/>
    <w:tmpl w:val="7A66203A"/>
    <w:lvl w:ilvl="0" w:tplc="9460C810">
      <w:start w:val="1"/>
      <w:numFmt w:val="bullet"/>
      <w:lvlText w:val=""/>
      <w:lvlJc w:val="left"/>
      <w:pPr>
        <w:ind w:left="1151" w:hanging="360"/>
      </w:pPr>
      <w:rPr>
        <w:rFonts w:ascii="Symbol" w:hAnsi="Symbol" w:hint="default"/>
      </w:rPr>
    </w:lvl>
    <w:lvl w:ilvl="1" w:tplc="BE5C4040" w:tentative="1">
      <w:start w:val="1"/>
      <w:numFmt w:val="bullet"/>
      <w:lvlText w:val="o"/>
      <w:lvlJc w:val="left"/>
      <w:pPr>
        <w:ind w:left="1871" w:hanging="360"/>
      </w:pPr>
      <w:rPr>
        <w:rFonts w:ascii="Courier New" w:hAnsi="Courier New" w:cs="Courier New" w:hint="default"/>
      </w:rPr>
    </w:lvl>
    <w:lvl w:ilvl="2" w:tplc="5B62155C" w:tentative="1">
      <w:start w:val="1"/>
      <w:numFmt w:val="bullet"/>
      <w:lvlText w:val=""/>
      <w:lvlJc w:val="left"/>
      <w:pPr>
        <w:ind w:left="2591" w:hanging="360"/>
      </w:pPr>
      <w:rPr>
        <w:rFonts w:ascii="Wingdings" w:hAnsi="Wingdings" w:hint="default"/>
      </w:rPr>
    </w:lvl>
    <w:lvl w:ilvl="3" w:tplc="D162441C" w:tentative="1">
      <w:start w:val="1"/>
      <w:numFmt w:val="bullet"/>
      <w:lvlText w:val=""/>
      <w:lvlJc w:val="left"/>
      <w:pPr>
        <w:ind w:left="3311" w:hanging="360"/>
      </w:pPr>
      <w:rPr>
        <w:rFonts w:ascii="Symbol" w:hAnsi="Symbol" w:hint="default"/>
      </w:rPr>
    </w:lvl>
    <w:lvl w:ilvl="4" w:tplc="3DCC25D0" w:tentative="1">
      <w:start w:val="1"/>
      <w:numFmt w:val="bullet"/>
      <w:lvlText w:val="o"/>
      <w:lvlJc w:val="left"/>
      <w:pPr>
        <w:ind w:left="4031" w:hanging="360"/>
      </w:pPr>
      <w:rPr>
        <w:rFonts w:ascii="Courier New" w:hAnsi="Courier New" w:cs="Courier New" w:hint="default"/>
      </w:rPr>
    </w:lvl>
    <w:lvl w:ilvl="5" w:tplc="071C1462" w:tentative="1">
      <w:start w:val="1"/>
      <w:numFmt w:val="bullet"/>
      <w:lvlText w:val=""/>
      <w:lvlJc w:val="left"/>
      <w:pPr>
        <w:ind w:left="4751" w:hanging="360"/>
      </w:pPr>
      <w:rPr>
        <w:rFonts w:ascii="Wingdings" w:hAnsi="Wingdings" w:hint="default"/>
      </w:rPr>
    </w:lvl>
    <w:lvl w:ilvl="6" w:tplc="50F07D80" w:tentative="1">
      <w:start w:val="1"/>
      <w:numFmt w:val="bullet"/>
      <w:lvlText w:val=""/>
      <w:lvlJc w:val="left"/>
      <w:pPr>
        <w:ind w:left="5471" w:hanging="360"/>
      </w:pPr>
      <w:rPr>
        <w:rFonts w:ascii="Symbol" w:hAnsi="Symbol" w:hint="default"/>
      </w:rPr>
    </w:lvl>
    <w:lvl w:ilvl="7" w:tplc="2B301420" w:tentative="1">
      <w:start w:val="1"/>
      <w:numFmt w:val="bullet"/>
      <w:lvlText w:val="o"/>
      <w:lvlJc w:val="left"/>
      <w:pPr>
        <w:ind w:left="6191" w:hanging="360"/>
      </w:pPr>
      <w:rPr>
        <w:rFonts w:ascii="Courier New" w:hAnsi="Courier New" w:cs="Courier New" w:hint="default"/>
      </w:rPr>
    </w:lvl>
    <w:lvl w:ilvl="8" w:tplc="614ACC1A" w:tentative="1">
      <w:start w:val="1"/>
      <w:numFmt w:val="bullet"/>
      <w:lvlText w:val=""/>
      <w:lvlJc w:val="left"/>
      <w:pPr>
        <w:ind w:left="6911" w:hanging="360"/>
      </w:pPr>
      <w:rPr>
        <w:rFonts w:ascii="Wingdings" w:hAnsi="Wingdings" w:hint="default"/>
      </w:rPr>
    </w:lvl>
  </w:abstractNum>
  <w:abstractNum w:abstractNumId="29">
    <w:nsid w:val="599F5F50"/>
    <w:multiLevelType w:val="multilevel"/>
    <w:tmpl w:val="A24A5AC2"/>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A1A6AB4"/>
    <w:multiLevelType w:val="hybridMultilevel"/>
    <w:tmpl w:val="B5389E1C"/>
    <w:lvl w:ilvl="0" w:tplc="6D70FF74">
      <w:start w:val="1"/>
      <w:numFmt w:val="bullet"/>
      <w:lvlText w:val=""/>
      <w:lvlJc w:val="left"/>
      <w:pPr>
        <w:ind w:left="1151" w:hanging="360"/>
      </w:pPr>
      <w:rPr>
        <w:rFonts w:ascii="Symbol" w:hAnsi="Symbol" w:hint="default"/>
      </w:rPr>
    </w:lvl>
    <w:lvl w:ilvl="1" w:tplc="C23C1E9C">
      <w:start w:val="1"/>
      <w:numFmt w:val="bullet"/>
      <w:lvlText w:val="o"/>
      <w:lvlJc w:val="left"/>
      <w:pPr>
        <w:ind w:left="1871" w:hanging="360"/>
      </w:pPr>
      <w:rPr>
        <w:rFonts w:ascii="Courier New" w:hAnsi="Courier New" w:cs="Courier New" w:hint="default"/>
      </w:rPr>
    </w:lvl>
    <w:lvl w:ilvl="2" w:tplc="BE541BC8" w:tentative="1">
      <w:start w:val="1"/>
      <w:numFmt w:val="bullet"/>
      <w:lvlText w:val=""/>
      <w:lvlJc w:val="left"/>
      <w:pPr>
        <w:ind w:left="2591" w:hanging="360"/>
      </w:pPr>
      <w:rPr>
        <w:rFonts w:ascii="Wingdings" w:hAnsi="Wingdings" w:hint="default"/>
      </w:rPr>
    </w:lvl>
    <w:lvl w:ilvl="3" w:tplc="254AD342" w:tentative="1">
      <w:start w:val="1"/>
      <w:numFmt w:val="bullet"/>
      <w:lvlText w:val=""/>
      <w:lvlJc w:val="left"/>
      <w:pPr>
        <w:ind w:left="3311" w:hanging="360"/>
      </w:pPr>
      <w:rPr>
        <w:rFonts w:ascii="Symbol" w:hAnsi="Symbol" w:hint="default"/>
      </w:rPr>
    </w:lvl>
    <w:lvl w:ilvl="4" w:tplc="45402B66" w:tentative="1">
      <w:start w:val="1"/>
      <w:numFmt w:val="bullet"/>
      <w:lvlText w:val="o"/>
      <w:lvlJc w:val="left"/>
      <w:pPr>
        <w:ind w:left="4031" w:hanging="360"/>
      </w:pPr>
      <w:rPr>
        <w:rFonts w:ascii="Courier New" w:hAnsi="Courier New" w:cs="Courier New" w:hint="default"/>
      </w:rPr>
    </w:lvl>
    <w:lvl w:ilvl="5" w:tplc="3A3809B6" w:tentative="1">
      <w:start w:val="1"/>
      <w:numFmt w:val="bullet"/>
      <w:lvlText w:val=""/>
      <w:lvlJc w:val="left"/>
      <w:pPr>
        <w:ind w:left="4751" w:hanging="360"/>
      </w:pPr>
      <w:rPr>
        <w:rFonts w:ascii="Wingdings" w:hAnsi="Wingdings" w:hint="default"/>
      </w:rPr>
    </w:lvl>
    <w:lvl w:ilvl="6" w:tplc="DD2EEE06" w:tentative="1">
      <w:start w:val="1"/>
      <w:numFmt w:val="bullet"/>
      <w:lvlText w:val=""/>
      <w:lvlJc w:val="left"/>
      <w:pPr>
        <w:ind w:left="5471" w:hanging="360"/>
      </w:pPr>
      <w:rPr>
        <w:rFonts w:ascii="Symbol" w:hAnsi="Symbol" w:hint="default"/>
      </w:rPr>
    </w:lvl>
    <w:lvl w:ilvl="7" w:tplc="0888C23C" w:tentative="1">
      <w:start w:val="1"/>
      <w:numFmt w:val="bullet"/>
      <w:lvlText w:val="o"/>
      <w:lvlJc w:val="left"/>
      <w:pPr>
        <w:ind w:left="6191" w:hanging="360"/>
      </w:pPr>
      <w:rPr>
        <w:rFonts w:ascii="Courier New" w:hAnsi="Courier New" w:cs="Courier New" w:hint="default"/>
      </w:rPr>
    </w:lvl>
    <w:lvl w:ilvl="8" w:tplc="1CE61DEC" w:tentative="1">
      <w:start w:val="1"/>
      <w:numFmt w:val="bullet"/>
      <w:lvlText w:val=""/>
      <w:lvlJc w:val="left"/>
      <w:pPr>
        <w:ind w:left="6911" w:hanging="360"/>
      </w:pPr>
      <w:rPr>
        <w:rFonts w:ascii="Wingdings" w:hAnsi="Wingdings" w:hint="default"/>
      </w:rPr>
    </w:lvl>
  </w:abstractNum>
  <w:abstractNum w:abstractNumId="31">
    <w:nsid w:val="5B620928"/>
    <w:multiLevelType w:val="hybridMultilevel"/>
    <w:tmpl w:val="E256B592"/>
    <w:lvl w:ilvl="0" w:tplc="2EEC84F6">
      <w:start w:val="1"/>
      <w:numFmt w:val="bullet"/>
      <w:lvlText w:val=""/>
      <w:lvlJc w:val="left"/>
      <w:pPr>
        <w:ind w:left="1151" w:hanging="360"/>
      </w:pPr>
      <w:rPr>
        <w:rFonts w:ascii="Symbol" w:hAnsi="Symbol" w:hint="default"/>
      </w:rPr>
    </w:lvl>
    <w:lvl w:ilvl="1" w:tplc="5CCEB95E" w:tentative="1">
      <w:start w:val="1"/>
      <w:numFmt w:val="bullet"/>
      <w:lvlText w:val="o"/>
      <w:lvlJc w:val="left"/>
      <w:pPr>
        <w:ind w:left="1871" w:hanging="360"/>
      </w:pPr>
      <w:rPr>
        <w:rFonts w:ascii="Courier New" w:hAnsi="Courier New" w:cs="Courier New" w:hint="default"/>
      </w:rPr>
    </w:lvl>
    <w:lvl w:ilvl="2" w:tplc="BE5A2BCE" w:tentative="1">
      <w:start w:val="1"/>
      <w:numFmt w:val="bullet"/>
      <w:lvlText w:val=""/>
      <w:lvlJc w:val="left"/>
      <w:pPr>
        <w:ind w:left="2591" w:hanging="360"/>
      </w:pPr>
      <w:rPr>
        <w:rFonts w:ascii="Wingdings" w:hAnsi="Wingdings" w:hint="default"/>
      </w:rPr>
    </w:lvl>
    <w:lvl w:ilvl="3" w:tplc="C85C2634" w:tentative="1">
      <w:start w:val="1"/>
      <w:numFmt w:val="bullet"/>
      <w:lvlText w:val=""/>
      <w:lvlJc w:val="left"/>
      <w:pPr>
        <w:ind w:left="3311" w:hanging="360"/>
      </w:pPr>
      <w:rPr>
        <w:rFonts w:ascii="Symbol" w:hAnsi="Symbol" w:hint="default"/>
      </w:rPr>
    </w:lvl>
    <w:lvl w:ilvl="4" w:tplc="1C94B490" w:tentative="1">
      <w:start w:val="1"/>
      <w:numFmt w:val="bullet"/>
      <w:lvlText w:val="o"/>
      <w:lvlJc w:val="left"/>
      <w:pPr>
        <w:ind w:left="4031" w:hanging="360"/>
      </w:pPr>
      <w:rPr>
        <w:rFonts w:ascii="Courier New" w:hAnsi="Courier New" w:cs="Courier New" w:hint="default"/>
      </w:rPr>
    </w:lvl>
    <w:lvl w:ilvl="5" w:tplc="AF20E886" w:tentative="1">
      <w:start w:val="1"/>
      <w:numFmt w:val="bullet"/>
      <w:lvlText w:val=""/>
      <w:lvlJc w:val="left"/>
      <w:pPr>
        <w:ind w:left="4751" w:hanging="360"/>
      </w:pPr>
      <w:rPr>
        <w:rFonts w:ascii="Wingdings" w:hAnsi="Wingdings" w:hint="default"/>
      </w:rPr>
    </w:lvl>
    <w:lvl w:ilvl="6" w:tplc="02664896" w:tentative="1">
      <w:start w:val="1"/>
      <w:numFmt w:val="bullet"/>
      <w:lvlText w:val=""/>
      <w:lvlJc w:val="left"/>
      <w:pPr>
        <w:ind w:left="5471" w:hanging="360"/>
      </w:pPr>
      <w:rPr>
        <w:rFonts w:ascii="Symbol" w:hAnsi="Symbol" w:hint="default"/>
      </w:rPr>
    </w:lvl>
    <w:lvl w:ilvl="7" w:tplc="3642D7EA" w:tentative="1">
      <w:start w:val="1"/>
      <w:numFmt w:val="bullet"/>
      <w:lvlText w:val="o"/>
      <w:lvlJc w:val="left"/>
      <w:pPr>
        <w:ind w:left="6191" w:hanging="360"/>
      </w:pPr>
      <w:rPr>
        <w:rFonts w:ascii="Courier New" w:hAnsi="Courier New" w:cs="Courier New" w:hint="default"/>
      </w:rPr>
    </w:lvl>
    <w:lvl w:ilvl="8" w:tplc="CA56F9E6" w:tentative="1">
      <w:start w:val="1"/>
      <w:numFmt w:val="bullet"/>
      <w:lvlText w:val=""/>
      <w:lvlJc w:val="left"/>
      <w:pPr>
        <w:ind w:left="6911" w:hanging="360"/>
      </w:pPr>
      <w:rPr>
        <w:rFonts w:ascii="Wingdings" w:hAnsi="Wingdings" w:hint="default"/>
      </w:rPr>
    </w:lvl>
  </w:abstractNum>
  <w:abstractNum w:abstractNumId="32">
    <w:nsid w:val="6025375B"/>
    <w:multiLevelType w:val="hybridMultilevel"/>
    <w:tmpl w:val="AEAA2B1C"/>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33">
    <w:nsid w:val="60F42CE5"/>
    <w:multiLevelType w:val="hybridMultilevel"/>
    <w:tmpl w:val="EBD84CBA"/>
    <w:lvl w:ilvl="0" w:tplc="7F545D12">
      <w:start w:val="1"/>
      <w:numFmt w:val="bullet"/>
      <w:lvlText w:val=""/>
      <w:lvlJc w:val="left"/>
      <w:pPr>
        <w:ind w:left="1151" w:hanging="360"/>
      </w:pPr>
      <w:rPr>
        <w:rFonts w:ascii="Symbol" w:hAnsi="Symbol" w:hint="default"/>
      </w:rPr>
    </w:lvl>
    <w:lvl w:ilvl="1" w:tplc="1056F5DC" w:tentative="1">
      <w:start w:val="1"/>
      <w:numFmt w:val="bullet"/>
      <w:lvlText w:val="o"/>
      <w:lvlJc w:val="left"/>
      <w:pPr>
        <w:ind w:left="1871" w:hanging="360"/>
      </w:pPr>
      <w:rPr>
        <w:rFonts w:ascii="Courier New" w:hAnsi="Courier New" w:cs="Courier New" w:hint="default"/>
      </w:rPr>
    </w:lvl>
    <w:lvl w:ilvl="2" w:tplc="A55099B6" w:tentative="1">
      <w:start w:val="1"/>
      <w:numFmt w:val="bullet"/>
      <w:lvlText w:val=""/>
      <w:lvlJc w:val="left"/>
      <w:pPr>
        <w:ind w:left="2591" w:hanging="360"/>
      </w:pPr>
      <w:rPr>
        <w:rFonts w:ascii="Wingdings" w:hAnsi="Wingdings" w:hint="default"/>
      </w:rPr>
    </w:lvl>
    <w:lvl w:ilvl="3" w:tplc="7E7017AC" w:tentative="1">
      <w:start w:val="1"/>
      <w:numFmt w:val="bullet"/>
      <w:lvlText w:val=""/>
      <w:lvlJc w:val="left"/>
      <w:pPr>
        <w:ind w:left="3311" w:hanging="360"/>
      </w:pPr>
      <w:rPr>
        <w:rFonts w:ascii="Symbol" w:hAnsi="Symbol" w:hint="default"/>
      </w:rPr>
    </w:lvl>
    <w:lvl w:ilvl="4" w:tplc="679A0EAA" w:tentative="1">
      <w:start w:val="1"/>
      <w:numFmt w:val="bullet"/>
      <w:lvlText w:val="o"/>
      <w:lvlJc w:val="left"/>
      <w:pPr>
        <w:ind w:left="4031" w:hanging="360"/>
      </w:pPr>
      <w:rPr>
        <w:rFonts w:ascii="Courier New" w:hAnsi="Courier New" w:cs="Courier New" w:hint="default"/>
      </w:rPr>
    </w:lvl>
    <w:lvl w:ilvl="5" w:tplc="0D502E62" w:tentative="1">
      <w:start w:val="1"/>
      <w:numFmt w:val="bullet"/>
      <w:lvlText w:val=""/>
      <w:lvlJc w:val="left"/>
      <w:pPr>
        <w:ind w:left="4751" w:hanging="360"/>
      </w:pPr>
      <w:rPr>
        <w:rFonts w:ascii="Wingdings" w:hAnsi="Wingdings" w:hint="default"/>
      </w:rPr>
    </w:lvl>
    <w:lvl w:ilvl="6" w:tplc="C582BFD6" w:tentative="1">
      <w:start w:val="1"/>
      <w:numFmt w:val="bullet"/>
      <w:lvlText w:val=""/>
      <w:lvlJc w:val="left"/>
      <w:pPr>
        <w:ind w:left="5471" w:hanging="360"/>
      </w:pPr>
      <w:rPr>
        <w:rFonts w:ascii="Symbol" w:hAnsi="Symbol" w:hint="default"/>
      </w:rPr>
    </w:lvl>
    <w:lvl w:ilvl="7" w:tplc="0044A634" w:tentative="1">
      <w:start w:val="1"/>
      <w:numFmt w:val="bullet"/>
      <w:lvlText w:val="o"/>
      <w:lvlJc w:val="left"/>
      <w:pPr>
        <w:ind w:left="6191" w:hanging="360"/>
      </w:pPr>
      <w:rPr>
        <w:rFonts w:ascii="Courier New" w:hAnsi="Courier New" w:cs="Courier New" w:hint="default"/>
      </w:rPr>
    </w:lvl>
    <w:lvl w:ilvl="8" w:tplc="9DEABA64" w:tentative="1">
      <w:start w:val="1"/>
      <w:numFmt w:val="bullet"/>
      <w:lvlText w:val=""/>
      <w:lvlJc w:val="left"/>
      <w:pPr>
        <w:ind w:left="6911" w:hanging="360"/>
      </w:pPr>
      <w:rPr>
        <w:rFonts w:ascii="Wingdings" w:hAnsi="Wingdings" w:hint="default"/>
      </w:rPr>
    </w:lvl>
  </w:abstractNum>
  <w:abstractNum w:abstractNumId="34">
    <w:nsid w:val="613036BD"/>
    <w:multiLevelType w:val="hybridMultilevel"/>
    <w:tmpl w:val="BBFAE5E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618A43B3"/>
    <w:multiLevelType w:val="hybridMultilevel"/>
    <w:tmpl w:val="429E1578"/>
    <w:lvl w:ilvl="0" w:tplc="F63CE1E0">
      <w:start w:val="1"/>
      <w:numFmt w:val="decimal"/>
      <w:pStyle w:val="Rovnice"/>
      <w:lvlText w:val="(%1)"/>
      <w:lvlJc w:val="left"/>
      <w:pPr>
        <w:tabs>
          <w:tab w:val="num" w:pos="720"/>
        </w:tabs>
        <w:ind w:left="0" w:firstLine="0"/>
      </w:pPr>
      <w:rPr>
        <w:rFonts w:hint="default"/>
      </w:rPr>
    </w:lvl>
    <w:lvl w:ilvl="1" w:tplc="04FEDD82">
      <w:start w:val="1"/>
      <w:numFmt w:val="lowerLetter"/>
      <w:lvlText w:val="%2)"/>
      <w:lvlJc w:val="left"/>
      <w:pPr>
        <w:tabs>
          <w:tab w:val="num" w:pos="1440"/>
        </w:tabs>
        <w:ind w:left="1440" w:hanging="360"/>
      </w:pPr>
      <w:rPr>
        <w:rFonts w:hint="default"/>
      </w:rPr>
    </w:lvl>
    <w:lvl w:ilvl="2" w:tplc="698CA746" w:tentative="1">
      <w:start w:val="1"/>
      <w:numFmt w:val="lowerRoman"/>
      <w:lvlText w:val="%3."/>
      <w:lvlJc w:val="right"/>
      <w:pPr>
        <w:tabs>
          <w:tab w:val="num" w:pos="2160"/>
        </w:tabs>
        <w:ind w:left="2160" w:hanging="180"/>
      </w:pPr>
    </w:lvl>
    <w:lvl w:ilvl="3" w:tplc="A9AC9C22" w:tentative="1">
      <w:start w:val="1"/>
      <w:numFmt w:val="decimal"/>
      <w:lvlText w:val="%4."/>
      <w:lvlJc w:val="left"/>
      <w:pPr>
        <w:tabs>
          <w:tab w:val="num" w:pos="2880"/>
        </w:tabs>
        <w:ind w:left="2880" w:hanging="360"/>
      </w:pPr>
    </w:lvl>
    <w:lvl w:ilvl="4" w:tplc="5E041D00" w:tentative="1">
      <w:start w:val="1"/>
      <w:numFmt w:val="lowerLetter"/>
      <w:lvlText w:val="%5."/>
      <w:lvlJc w:val="left"/>
      <w:pPr>
        <w:tabs>
          <w:tab w:val="num" w:pos="3600"/>
        </w:tabs>
        <w:ind w:left="3600" w:hanging="360"/>
      </w:pPr>
    </w:lvl>
    <w:lvl w:ilvl="5" w:tplc="0D0E463E" w:tentative="1">
      <w:start w:val="1"/>
      <w:numFmt w:val="lowerRoman"/>
      <w:lvlText w:val="%6."/>
      <w:lvlJc w:val="right"/>
      <w:pPr>
        <w:tabs>
          <w:tab w:val="num" w:pos="4320"/>
        </w:tabs>
        <w:ind w:left="4320" w:hanging="180"/>
      </w:pPr>
    </w:lvl>
    <w:lvl w:ilvl="6" w:tplc="0A4A2198" w:tentative="1">
      <w:start w:val="1"/>
      <w:numFmt w:val="decimal"/>
      <w:lvlText w:val="%7."/>
      <w:lvlJc w:val="left"/>
      <w:pPr>
        <w:tabs>
          <w:tab w:val="num" w:pos="5040"/>
        </w:tabs>
        <w:ind w:left="5040" w:hanging="360"/>
      </w:pPr>
    </w:lvl>
    <w:lvl w:ilvl="7" w:tplc="28581A8E" w:tentative="1">
      <w:start w:val="1"/>
      <w:numFmt w:val="lowerLetter"/>
      <w:lvlText w:val="%8."/>
      <w:lvlJc w:val="left"/>
      <w:pPr>
        <w:tabs>
          <w:tab w:val="num" w:pos="5760"/>
        </w:tabs>
        <w:ind w:left="5760" w:hanging="360"/>
      </w:pPr>
    </w:lvl>
    <w:lvl w:ilvl="8" w:tplc="0E460B50" w:tentative="1">
      <w:start w:val="1"/>
      <w:numFmt w:val="lowerRoman"/>
      <w:lvlText w:val="%9."/>
      <w:lvlJc w:val="right"/>
      <w:pPr>
        <w:tabs>
          <w:tab w:val="num" w:pos="6480"/>
        </w:tabs>
        <w:ind w:left="6480" w:hanging="180"/>
      </w:pPr>
    </w:lvl>
  </w:abstractNum>
  <w:abstractNum w:abstractNumId="36">
    <w:nsid w:val="625401C4"/>
    <w:multiLevelType w:val="multilevel"/>
    <w:tmpl w:val="5F8E62E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690C4C5C"/>
    <w:multiLevelType w:val="multilevel"/>
    <w:tmpl w:val="E6ACD780"/>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38">
    <w:nsid w:val="6C1B04D2"/>
    <w:multiLevelType w:val="hybridMultilevel"/>
    <w:tmpl w:val="5D6C4E10"/>
    <w:lvl w:ilvl="0" w:tplc="04150001">
      <w:start w:val="1"/>
      <w:numFmt w:val="bullet"/>
      <w:lvlText w:val=""/>
      <w:lvlJc w:val="left"/>
      <w:pPr>
        <w:ind w:left="791" w:hanging="360"/>
      </w:pPr>
      <w:rPr>
        <w:rFonts w:ascii="Symbol" w:hAnsi="Symbol" w:hint="default"/>
      </w:rPr>
    </w:lvl>
    <w:lvl w:ilvl="1" w:tplc="04150003" w:tentative="1">
      <w:start w:val="1"/>
      <w:numFmt w:val="bullet"/>
      <w:lvlText w:val="o"/>
      <w:lvlJc w:val="left"/>
      <w:pPr>
        <w:ind w:left="1511" w:hanging="360"/>
      </w:pPr>
      <w:rPr>
        <w:rFonts w:ascii="Courier New" w:hAnsi="Courier New" w:cs="Courier New" w:hint="default"/>
      </w:rPr>
    </w:lvl>
    <w:lvl w:ilvl="2" w:tplc="04150005" w:tentative="1">
      <w:start w:val="1"/>
      <w:numFmt w:val="bullet"/>
      <w:lvlText w:val=""/>
      <w:lvlJc w:val="left"/>
      <w:pPr>
        <w:ind w:left="2231" w:hanging="360"/>
      </w:pPr>
      <w:rPr>
        <w:rFonts w:ascii="Wingdings" w:hAnsi="Wingdings" w:hint="default"/>
      </w:rPr>
    </w:lvl>
    <w:lvl w:ilvl="3" w:tplc="04150001" w:tentative="1">
      <w:start w:val="1"/>
      <w:numFmt w:val="bullet"/>
      <w:lvlText w:val=""/>
      <w:lvlJc w:val="left"/>
      <w:pPr>
        <w:ind w:left="2951" w:hanging="360"/>
      </w:pPr>
      <w:rPr>
        <w:rFonts w:ascii="Symbol" w:hAnsi="Symbol" w:hint="default"/>
      </w:rPr>
    </w:lvl>
    <w:lvl w:ilvl="4" w:tplc="04150003" w:tentative="1">
      <w:start w:val="1"/>
      <w:numFmt w:val="bullet"/>
      <w:lvlText w:val="o"/>
      <w:lvlJc w:val="left"/>
      <w:pPr>
        <w:ind w:left="3671" w:hanging="360"/>
      </w:pPr>
      <w:rPr>
        <w:rFonts w:ascii="Courier New" w:hAnsi="Courier New" w:cs="Courier New" w:hint="default"/>
      </w:rPr>
    </w:lvl>
    <w:lvl w:ilvl="5" w:tplc="04150005" w:tentative="1">
      <w:start w:val="1"/>
      <w:numFmt w:val="bullet"/>
      <w:lvlText w:val=""/>
      <w:lvlJc w:val="left"/>
      <w:pPr>
        <w:ind w:left="4391" w:hanging="360"/>
      </w:pPr>
      <w:rPr>
        <w:rFonts w:ascii="Wingdings" w:hAnsi="Wingdings" w:hint="default"/>
      </w:rPr>
    </w:lvl>
    <w:lvl w:ilvl="6" w:tplc="04150001" w:tentative="1">
      <w:start w:val="1"/>
      <w:numFmt w:val="bullet"/>
      <w:lvlText w:val=""/>
      <w:lvlJc w:val="left"/>
      <w:pPr>
        <w:ind w:left="5111" w:hanging="360"/>
      </w:pPr>
      <w:rPr>
        <w:rFonts w:ascii="Symbol" w:hAnsi="Symbol" w:hint="default"/>
      </w:rPr>
    </w:lvl>
    <w:lvl w:ilvl="7" w:tplc="04150003" w:tentative="1">
      <w:start w:val="1"/>
      <w:numFmt w:val="bullet"/>
      <w:lvlText w:val="o"/>
      <w:lvlJc w:val="left"/>
      <w:pPr>
        <w:ind w:left="5831" w:hanging="360"/>
      </w:pPr>
      <w:rPr>
        <w:rFonts w:ascii="Courier New" w:hAnsi="Courier New" w:cs="Courier New" w:hint="default"/>
      </w:rPr>
    </w:lvl>
    <w:lvl w:ilvl="8" w:tplc="04150005" w:tentative="1">
      <w:start w:val="1"/>
      <w:numFmt w:val="bullet"/>
      <w:lvlText w:val=""/>
      <w:lvlJc w:val="left"/>
      <w:pPr>
        <w:ind w:left="6551" w:hanging="360"/>
      </w:pPr>
      <w:rPr>
        <w:rFonts w:ascii="Wingdings" w:hAnsi="Wingdings" w:hint="default"/>
      </w:rPr>
    </w:lvl>
  </w:abstractNum>
  <w:abstractNum w:abstractNumId="39">
    <w:nsid w:val="6DC0314E"/>
    <w:multiLevelType w:val="multilevel"/>
    <w:tmpl w:val="A24A5AC2"/>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73A95CCB"/>
    <w:multiLevelType w:val="hybridMultilevel"/>
    <w:tmpl w:val="8BD8868E"/>
    <w:lvl w:ilvl="0" w:tplc="B862056A">
      <w:start w:val="1"/>
      <w:numFmt w:val="lowerLetter"/>
      <w:lvlText w:val="%1)"/>
      <w:lvlJc w:val="left"/>
      <w:pPr>
        <w:ind w:left="720" w:hanging="360"/>
      </w:pPr>
      <w:rPr>
        <w:rFonts w:hint="default"/>
      </w:rPr>
    </w:lvl>
    <w:lvl w:ilvl="1" w:tplc="043E0FAE" w:tentative="1">
      <w:start w:val="1"/>
      <w:numFmt w:val="lowerLetter"/>
      <w:lvlText w:val="%2."/>
      <w:lvlJc w:val="left"/>
      <w:pPr>
        <w:ind w:left="1440" w:hanging="360"/>
      </w:pPr>
    </w:lvl>
    <w:lvl w:ilvl="2" w:tplc="060C7734" w:tentative="1">
      <w:start w:val="1"/>
      <w:numFmt w:val="lowerRoman"/>
      <w:lvlText w:val="%3."/>
      <w:lvlJc w:val="right"/>
      <w:pPr>
        <w:ind w:left="2160" w:hanging="180"/>
      </w:pPr>
    </w:lvl>
    <w:lvl w:ilvl="3" w:tplc="940E66A6" w:tentative="1">
      <w:start w:val="1"/>
      <w:numFmt w:val="decimal"/>
      <w:lvlText w:val="%4."/>
      <w:lvlJc w:val="left"/>
      <w:pPr>
        <w:ind w:left="2880" w:hanging="360"/>
      </w:pPr>
    </w:lvl>
    <w:lvl w:ilvl="4" w:tplc="71181B7A" w:tentative="1">
      <w:start w:val="1"/>
      <w:numFmt w:val="lowerLetter"/>
      <w:lvlText w:val="%5."/>
      <w:lvlJc w:val="left"/>
      <w:pPr>
        <w:ind w:left="3600" w:hanging="360"/>
      </w:pPr>
    </w:lvl>
    <w:lvl w:ilvl="5" w:tplc="5BAE75A2" w:tentative="1">
      <w:start w:val="1"/>
      <w:numFmt w:val="lowerRoman"/>
      <w:lvlText w:val="%6."/>
      <w:lvlJc w:val="right"/>
      <w:pPr>
        <w:ind w:left="4320" w:hanging="180"/>
      </w:pPr>
    </w:lvl>
    <w:lvl w:ilvl="6" w:tplc="552874D0" w:tentative="1">
      <w:start w:val="1"/>
      <w:numFmt w:val="decimal"/>
      <w:lvlText w:val="%7."/>
      <w:lvlJc w:val="left"/>
      <w:pPr>
        <w:ind w:left="5040" w:hanging="360"/>
      </w:pPr>
    </w:lvl>
    <w:lvl w:ilvl="7" w:tplc="C208528A" w:tentative="1">
      <w:start w:val="1"/>
      <w:numFmt w:val="lowerLetter"/>
      <w:lvlText w:val="%8."/>
      <w:lvlJc w:val="left"/>
      <w:pPr>
        <w:ind w:left="5760" w:hanging="360"/>
      </w:pPr>
    </w:lvl>
    <w:lvl w:ilvl="8" w:tplc="F81CEB0A" w:tentative="1">
      <w:start w:val="1"/>
      <w:numFmt w:val="lowerRoman"/>
      <w:lvlText w:val="%9."/>
      <w:lvlJc w:val="right"/>
      <w:pPr>
        <w:ind w:left="6480" w:hanging="180"/>
      </w:pPr>
    </w:lvl>
  </w:abstractNum>
  <w:abstractNum w:abstractNumId="41">
    <w:nsid w:val="77E71AC1"/>
    <w:multiLevelType w:val="hybridMultilevel"/>
    <w:tmpl w:val="3D36BB70"/>
    <w:lvl w:ilvl="0" w:tplc="FE5CA6A0">
      <w:start w:val="1"/>
      <w:numFmt w:val="bullet"/>
      <w:lvlText w:val=""/>
      <w:lvlJc w:val="left"/>
      <w:pPr>
        <w:ind w:left="1151" w:hanging="360"/>
      </w:pPr>
      <w:rPr>
        <w:rFonts w:ascii="Symbol" w:hAnsi="Symbol" w:hint="default"/>
      </w:rPr>
    </w:lvl>
    <w:lvl w:ilvl="1" w:tplc="CE682182" w:tentative="1">
      <w:start w:val="1"/>
      <w:numFmt w:val="bullet"/>
      <w:lvlText w:val="o"/>
      <w:lvlJc w:val="left"/>
      <w:pPr>
        <w:ind w:left="1871" w:hanging="360"/>
      </w:pPr>
      <w:rPr>
        <w:rFonts w:ascii="Courier New" w:hAnsi="Courier New" w:cs="Courier New" w:hint="default"/>
      </w:rPr>
    </w:lvl>
    <w:lvl w:ilvl="2" w:tplc="DC80A430" w:tentative="1">
      <w:start w:val="1"/>
      <w:numFmt w:val="bullet"/>
      <w:lvlText w:val=""/>
      <w:lvlJc w:val="left"/>
      <w:pPr>
        <w:ind w:left="2591" w:hanging="360"/>
      </w:pPr>
      <w:rPr>
        <w:rFonts w:ascii="Wingdings" w:hAnsi="Wingdings" w:hint="default"/>
      </w:rPr>
    </w:lvl>
    <w:lvl w:ilvl="3" w:tplc="764CA222" w:tentative="1">
      <w:start w:val="1"/>
      <w:numFmt w:val="bullet"/>
      <w:lvlText w:val=""/>
      <w:lvlJc w:val="left"/>
      <w:pPr>
        <w:ind w:left="3311" w:hanging="360"/>
      </w:pPr>
      <w:rPr>
        <w:rFonts w:ascii="Symbol" w:hAnsi="Symbol" w:hint="default"/>
      </w:rPr>
    </w:lvl>
    <w:lvl w:ilvl="4" w:tplc="7C624D64" w:tentative="1">
      <w:start w:val="1"/>
      <w:numFmt w:val="bullet"/>
      <w:lvlText w:val="o"/>
      <w:lvlJc w:val="left"/>
      <w:pPr>
        <w:ind w:left="4031" w:hanging="360"/>
      </w:pPr>
      <w:rPr>
        <w:rFonts w:ascii="Courier New" w:hAnsi="Courier New" w:cs="Courier New" w:hint="default"/>
      </w:rPr>
    </w:lvl>
    <w:lvl w:ilvl="5" w:tplc="72F81E64" w:tentative="1">
      <w:start w:val="1"/>
      <w:numFmt w:val="bullet"/>
      <w:lvlText w:val=""/>
      <w:lvlJc w:val="left"/>
      <w:pPr>
        <w:ind w:left="4751" w:hanging="360"/>
      </w:pPr>
      <w:rPr>
        <w:rFonts w:ascii="Wingdings" w:hAnsi="Wingdings" w:hint="default"/>
      </w:rPr>
    </w:lvl>
    <w:lvl w:ilvl="6" w:tplc="2DE4C98A" w:tentative="1">
      <w:start w:val="1"/>
      <w:numFmt w:val="bullet"/>
      <w:lvlText w:val=""/>
      <w:lvlJc w:val="left"/>
      <w:pPr>
        <w:ind w:left="5471" w:hanging="360"/>
      </w:pPr>
      <w:rPr>
        <w:rFonts w:ascii="Symbol" w:hAnsi="Symbol" w:hint="default"/>
      </w:rPr>
    </w:lvl>
    <w:lvl w:ilvl="7" w:tplc="457C1F32" w:tentative="1">
      <w:start w:val="1"/>
      <w:numFmt w:val="bullet"/>
      <w:lvlText w:val="o"/>
      <w:lvlJc w:val="left"/>
      <w:pPr>
        <w:ind w:left="6191" w:hanging="360"/>
      </w:pPr>
      <w:rPr>
        <w:rFonts w:ascii="Courier New" w:hAnsi="Courier New" w:cs="Courier New" w:hint="default"/>
      </w:rPr>
    </w:lvl>
    <w:lvl w:ilvl="8" w:tplc="219A83EE" w:tentative="1">
      <w:start w:val="1"/>
      <w:numFmt w:val="bullet"/>
      <w:lvlText w:val=""/>
      <w:lvlJc w:val="left"/>
      <w:pPr>
        <w:ind w:left="6911" w:hanging="360"/>
      </w:pPr>
      <w:rPr>
        <w:rFonts w:ascii="Wingdings" w:hAnsi="Wingdings" w:hint="default"/>
      </w:rPr>
    </w:lvl>
  </w:abstractNum>
  <w:abstractNum w:abstractNumId="42">
    <w:nsid w:val="795B7D10"/>
    <w:multiLevelType w:val="hybridMultilevel"/>
    <w:tmpl w:val="42DC53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7BE84619"/>
    <w:multiLevelType w:val="hybridMultilevel"/>
    <w:tmpl w:val="CC788C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7DFF67D4"/>
    <w:multiLevelType w:val="hybridMultilevel"/>
    <w:tmpl w:val="F8DEF5B8"/>
    <w:lvl w:ilvl="0" w:tplc="14507EF8">
      <w:start w:val="1"/>
      <w:numFmt w:val="bullet"/>
      <w:lvlText w:val=""/>
      <w:lvlJc w:val="left"/>
      <w:pPr>
        <w:ind w:left="720" w:hanging="360"/>
      </w:pPr>
      <w:rPr>
        <w:rFonts w:ascii="Symbol" w:hAnsi="Symbol" w:hint="default"/>
      </w:rPr>
    </w:lvl>
    <w:lvl w:ilvl="1" w:tplc="55589FE4" w:tentative="1">
      <w:start w:val="1"/>
      <w:numFmt w:val="bullet"/>
      <w:lvlText w:val="o"/>
      <w:lvlJc w:val="left"/>
      <w:pPr>
        <w:ind w:left="1440" w:hanging="360"/>
      </w:pPr>
      <w:rPr>
        <w:rFonts w:ascii="Courier New" w:hAnsi="Courier New" w:cs="Courier New" w:hint="default"/>
      </w:rPr>
    </w:lvl>
    <w:lvl w:ilvl="2" w:tplc="8284996C" w:tentative="1">
      <w:start w:val="1"/>
      <w:numFmt w:val="bullet"/>
      <w:lvlText w:val=""/>
      <w:lvlJc w:val="left"/>
      <w:pPr>
        <w:ind w:left="2160" w:hanging="360"/>
      </w:pPr>
      <w:rPr>
        <w:rFonts w:ascii="Wingdings" w:hAnsi="Wingdings" w:hint="default"/>
      </w:rPr>
    </w:lvl>
    <w:lvl w:ilvl="3" w:tplc="71068846" w:tentative="1">
      <w:start w:val="1"/>
      <w:numFmt w:val="bullet"/>
      <w:lvlText w:val=""/>
      <w:lvlJc w:val="left"/>
      <w:pPr>
        <w:ind w:left="2880" w:hanging="360"/>
      </w:pPr>
      <w:rPr>
        <w:rFonts w:ascii="Symbol" w:hAnsi="Symbol" w:hint="default"/>
      </w:rPr>
    </w:lvl>
    <w:lvl w:ilvl="4" w:tplc="4DC88624" w:tentative="1">
      <w:start w:val="1"/>
      <w:numFmt w:val="bullet"/>
      <w:lvlText w:val="o"/>
      <w:lvlJc w:val="left"/>
      <w:pPr>
        <w:ind w:left="3600" w:hanging="360"/>
      </w:pPr>
      <w:rPr>
        <w:rFonts w:ascii="Courier New" w:hAnsi="Courier New" w:cs="Courier New" w:hint="default"/>
      </w:rPr>
    </w:lvl>
    <w:lvl w:ilvl="5" w:tplc="A076406C" w:tentative="1">
      <w:start w:val="1"/>
      <w:numFmt w:val="bullet"/>
      <w:lvlText w:val=""/>
      <w:lvlJc w:val="left"/>
      <w:pPr>
        <w:ind w:left="4320" w:hanging="360"/>
      </w:pPr>
      <w:rPr>
        <w:rFonts w:ascii="Wingdings" w:hAnsi="Wingdings" w:hint="default"/>
      </w:rPr>
    </w:lvl>
    <w:lvl w:ilvl="6" w:tplc="C84A71D0" w:tentative="1">
      <w:start w:val="1"/>
      <w:numFmt w:val="bullet"/>
      <w:lvlText w:val=""/>
      <w:lvlJc w:val="left"/>
      <w:pPr>
        <w:ind w:left="5040" w:hanging="360"/>
      </w:pPr>
      <w:rPr>
        <w:rFonts w:ascii="Symbol" w:hAnsi="Symbol" w:hint="default"/>
      </w:rPr>
    </w:lvl>
    <w:lvl w:ilvl="7" w:tplc="91504074" w:tentative="1">
      <w:start w:val="1"/>
      <w:numFmt w:val="bullet"/>
      <w:lvlText w:val="o"/>
      <w:lvlJc w:val="left"/>
      <w:pPr>
        <w:ind w:left="5760" w:hanging="360"/>
      </w:pPr>
      <w:rPr>
        <w:rFonts w:ascii="Courier New" w:hAnsi="Courier New" w:cs="Courier New" w:hint="default"/>
      </w:rPr>
    </w:lvl>
    <w:lvl w:ilvl="8" w:tplc="310AC3C8" w:tentative="1">
      <w:start w:val="1"/>
      <w:numFmt w:val="bullet"/>
      <w:lvlText w:val=""/>
      <w:lvlJc w:val="left"/>
      <w:pPr>
        <w:ind w:left="6480" w:hanging="360"/>
      </w:pPr>
      <w:rPr>
        <w:rFonts w:ascii="Wingdings" w:hAnsi="Wingdings" w:hint="default"/>
      </w:rPr>
    </w:lvl>
  </w:abstractNum>
  <w:abstractNum w:abstractNumId="45">
    <w:nsid w:val="7FA65226"/>
    <w:multiLevelType w:val="hybridMultilevel"/>
    <w:tmpl w:val="72F47A40"/>
    <w:lvl w:ilvl="0" w:tplc="04050017">
      <w:start w:val="1"/>
      <w:numFmt w:val="decimal"/>
      <w:lvlText w:val="%1."/>
      <w:lvlJc w:val="left"/>
      <w:pPr>
        <w:ind w:left="720" w:hanging="360"/>
      </w:pPr>
      <w:rPr>
        <w:rFonts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num w:numId="1">
    <w:abstractNumId w:val="37"/>
  </w:num>
  <w:num w:numId="2">
    <w:abstractNumId w:val="35"/>
  </w:num>
  <w:num w:numId="3">
    <w:abstractNumId w:val="41"/>
  </w:num>
  <w:num w:numId="4">
    <w:abstractNumId w:val="20"/>
  </w:num>
  <w:num w:numId="5">
    <w:abstractNumId w:val="6"/>
  </w:num>
  <w:num w:numId="6">
    <w:abstractNumId w:val="16"/>
  </w:num>
  <w:num w:numId="7">
    <w:abstractNumId w:val="28"/>
  </w:num>
  <w:num w:numId="8">
    <w:abstractNumId w:val="22"/>
  </w:num>
  <w:num w:numId="9">
    <w:abstractNumId w:val="33"/>
  </w:num>
  <w:num w:numId="10">
    <w:abstractNumId w:val="30"/>
  </w:num>
  <w:num w:numId="11">
    <w:abstractNumId w:val="13"/>
  </w:num>
  <w:num w:numId="12">
    <w:abstractNumId w:val="29"/>
  </w:num>
  <w:num w:numId="13">
    <w:abstractNumId w:val="17"/>
  </w:num>
  <w:num w:numId="14">
    <w:abstractNumId w:val="11"/>
  </w:num>
  <w:num w:numId="15">
    <w:abstractNumId w:val="39"/>
  </w:num>
  <w:num w:numId="16">
    <w:abstractNumId w:val="27"/>
  </w:num>
  <w:num w:numId="17">
    <w:abstractNumId w:val="19"/>
  </w:num>
  <w:num w:numId="18">
    <w:abstractNumId w:val="18"/>
  </w:num>
  <w:num w:numId="19">
    <w:abstractNumId w:val="31"/>
  </w:num>
  <w:num w:numId="20">
    <w:abstractNumId w:val="21"/>
  </w:num>
  <w:num w:numId="21">
    <w:abstractNumId w:val="5"/>
  </w:num>
  <w:num w:numId="22">
    <w:abstractNumId w:val="24"/>
  </w:num>
  <w:num w:numId="23">
    <w:abstractNumId w:val="14"/>
  </w:num>
  <w:num w:numId="24">
    <w:abstractNumId w:val="8"/>
  </w:num>
  <w:num w:numId="25">
    <w:abstractNumId w:val="36"/>
  </w:num>
  <w:num w:numId="26">
    <w:abstractNumId w:val="4"/>
  </w:num>
  <w:num w:numId="27">
    <w:abstractNumId w:val="3"/>
  </w:num>
  <w:num w:numId="28">
    <w:abstractNumId w:val="2"/>
  </w:num>
  <w:num w:numId="29">
    <w:abstractNumId w:val="1"/>
  </w:num>
  <w:num w:numId="30">
    <w:abstractNumId w:val="0"/>
  </w:num>
  <w:num w:numId="31">
    <w:abstractNumId w:val="44"/>
  </w:num>
  <w:num w:numId="32">
    <w:abstractNumId w:val="45"/>
  </w:num>
  <w:num w:numId="33">
    <w:abstractNumId w:val="40"/>
  </w:num>
  <w:num w:numId="34">
    <w:abstractNumId w:val="26"/>
  </w:num>
  <w:num w:numId="35">
    <w:abstractNumId w:val="15"/>
  </w:num>
  <w:num w:numId="36">
    <w:abstractNumId w:val="34"/>
  </w:num>
  <w:num w:numId="37">
    <w:abstractNumId w:val="10"/>
  </w:num>
  <w:num w:numId="38">
    <w:abstractNumId w:val="23"/>
  </w:num>
  <w:num w:numId="39">
    <w:abstractNumId w:val="12"/>
  </w:num>
  <w:num w:numId="40">
    <w:abstractNumId w:val="25"/>
  </w:num>
  <w:num w:numId="41">
    <w:abstractNumId w:val="38"/>
  </w:num>
  <w:num w:numId="42">
    <w:abstractNumId w:val="7"/>
  </w:num>
  <w:num w:numId="43">
    <w:abstractNumId w:val="43"/>
  </w:num>
  <w:num w:numId="44">
    <w:abstractNumId w:val="42"/>
  </w:num>
  <w:num w:numId="45">
    <w:abstractNumId w:val="9"/>
  </w:num>
  <w:num w:numId="46">
    <w:abstractNumId w:val="32"/>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21"/>
  <w:stylePaneSortMethod w:val="0000"/>
  <w:defaultTabStop w:val="709"/>
  <w:hyphenationZone w:val="425"/>
  <w:drawingGridHorizontalSpacing w:val="120"/>
  <w:displayHorizontalDrawingGridEvery w:val="2"/>
  <w:noPunctuationKerning/>
  <w:characterSpacingControl w:val="doNotCompress"/>
  <w:hdrShapeDefaults>
    <o:shapedefaults v:ext="edit" spidmax="101378">
      <o:colormenu v:ext="edit" fillcolor="none" strokecolor="none"/>
    </o:shapedefaults>
  </w:hdrShapeDefaults>
  <w:footnotePr>
    <w:footnote w:id="-1"/>
    <w:footnote w:id="0"/>
  </w:footnotePr>
  <w:endnotePr>
    <w:endnote w:id="-1"/>
    <w:endnote w:id="0"/>
  </w:endnotePr>
  <w:compat/>
  <w:rsids>
    <w:rsidRoot w:val="00394DD3"/>
    <w:rsid w:val="000003B7"/>
    <w:rsid w:val="000005BA"/>
    <w:rsid w:val="0000065D"/>
    <w:rsid w:val="000039B1"/>
    <w:rsid w:val="00005BEB"/>
    <w:rsid w:val="00010967"/>
    <w:rsid w:val="00011387"/>
    <w:rsid w:val="00011652"/>
    <w:rsid w:val="00011CFA"/>
    <w:rsid w:val="00012774"/>
    <w:rsid w:val="0001385D"/>
    <w:rsid w:val="0001696D"/>
    <w:rsid w:val="00016C61"/>
    <w:rsid w:val="00021109"/>
    <w:rsid w:val="00024C4F"/>
    <w:rsid w:val="0002614E"/>
    <w:rsid w:val="00027292"/>
    <w:rsid w:val="00027E6F"/>
    <w:rsid w:val="00030FFD"/>
    <w:rsid w:val="0003163C"/>
    <w:rsid w:val="000363C8"/>
    <w:rsid w:val="000363D4"/>
    <w:rsid w:val="000379B3"/>
    <w:rsid w:val="000406E7"/>
    <w:rsid w:val="00041EBD"/>
    <w:rsid w:val="000508D7"/>
    <w:rsid w:val="000511A1"/>
    <w:rsid w:val="00053B1E"/>
    <w:rsid w:val="00054AAD"/>
    <w:rsid w:val="00055AF6"/>
    <w:rsid w:val="000561F1"/>
    <w:rsid w:val="00057739"/>
    <w:rsid w:val="00060EAF"/>
    <w:rsid w:val="00064513"/>
    <w:rsid w:val="00065334"/>
    <w:rsid w:val="00067F43"/>
    <w:rsid w:val="00071287"/>
    <w:rsid w:val="000713AC"/>
    <w:rsid w:val="00077944"/>
    <w:rsid w:val="000810CA"/>
    <w:rsid w:val="00085E8E"/>
    <w:rsid w:val="00086B0C"/>
    <w:rsid w:val="000914C2"/>
    <w:rsid w:val="00092693"/>
    <w:rsid w:val="00095B70"/>
    <w:rsid w:val="00096588"/>
    <w:rsid w:val="000A19C6"/>
    <w:rsid w:val="000A1BFD"/>
    <w:rsid w:val="000A5673"/>
    <w:rsid w:val="000B440A"/>
    <w:rsid w:val="000B5B1F"/>
    <w:rsid w:val="000B6854"/>
    <w:rsid w:val="000B6A49"/>
    <w:rsid w:val="000B7554"/>
    <w:rsid w:val="000C15D2"/>
    <w:rsid w:val="000C41C4"/>
    <w:rsid w:val="000C4F8F"/>
    <w:rsid w:val="000C59F6"/>
    <w:rsid w:val="000D06C8"/>
    <w:rsid w:val="000E3821"/>
    <w:rsid w:val="000E5FF4"/>
    <w:rsid w:val="000E7172"/>
    <w:rsid w:val="000F01A3"/>
    <w:rsid w:val="000F36F3"/>
    <w:rsid w:val="000F5A54"/>
    <w:rsid w:val="000F5B05"/>
    <w:rsid w:val="000F64B0"/>
    <w:rsid w:val="001024FD"/>
    <w:rsid w:val="00105685"/>
    <w:rsid w:val="00107CBA"/>
    <w:rsid w:val="001122F4"/>
    <w:rsid w:val="00112BFB"/>
    <w:rsid w:val="0011493C"/>
    <w:rsid w:val="001167F2"/>
    <w:rsid w:val="00117DD2"/>
    <w:rsid w:val="0012043A"/>
    <w:rsid w:val="00122448"/>
    <w:rsid w:val="001276F3"/>
    <w:rsid w:val="00127D9B"/>
    <w:rsid w:val="00131CBB"/>
    <w:rsid w:val="00133AB6"/>
    <w:rsid w:val="00140C99"/>
    <w:rsid w:val="0014172A"/>
    <w:rsid w:val="00141783"/>
    <w:rsid w:val="001426E0"/>
    <w:rsid w:val="001443A8"/>
    <w:rsid w:val="0014708C"/>
    <w:rsid w:val="00151171"/>
    <w:rsid w:val="0015174D"/>
    <w:rsid w:val="0015555E"/>
    <w:rsid w:val="00161250"/>
    <w:rsid w:val="001616DD"/>
    <w:rsid w:val="001618D4"/>
    <w:rsid w:val="0016193F"/>
    <w:rsid w:val="00162336"/>
    <w:rsid w:val="0016311F"/>
    <w:rsid w:val="001677ED"/>
    <w:rsid w:val="00167DB6"/>
    <w:rsid w:val="00170E62"/>
    <w:rsid w:val="00175EE1"/>
    <w:rsid w:val="00176B62"/>
    <w:rsid w:val="00181764"/>
    <w:rsid w:val="001826A9"/>
    <w:rsid w:val="0018627F"/>
    <w:rsid w:val="00186642"/>
    <w:rsid w:val="001868B9"/>
    <w:rsid w:val="0019068D"/>
    <w:rsid w:val="001917A4"/>
    <w:rsid w:val="00191FDA"/>
    <w:rsid w:val="00197F28"/>
    <w:rsid w:val="001A1EE7"/>
    <w:rsid w:val="001A5B1F"/>
    <w:rsid w:val="001B03DC"/>
    <w:rsid w:val="001B1489"/>
    <w:rsid w:val="001B2AC9"/>
    <w:rsid w:val="001C005D"/>
    <w:rsid w:val="001C05A6"/>
    <w:rsid w:val="001C08BE"/>
    <w:rsid w:val="001C3CC5"/>
    <w:rsid w:val="001C5FA2"/>
    <w:rsid w:val="001D29DE"/>
    <w:rsid w:val="001D37C2"/>
    <w:rsid w:val="001D7457"/>
    <w:rsid w:val="001E4D0B"/>
    <w:rsid w:val="001F15F2"/>
    <w:rsid w:val="001F17E8"/>
    <w:rsid w:val="001F2822"/>
    <w:rsid w:val="001F4AFE"/>
    <w:rsid w:val="001F5363"/>
    <w:rsid w:val="001F7061"/>
    <w:rsid w:val="00201A21"/>
    <w:rsid w:val="00206E72"/>
    <w:rsid w:val="00207927"/>
    <w:rsid w:val="00207C5C"/>
    <w:rsid w:val="00221BAC"/>
    <w:rsid w:val="00222C45"/>
    <w:rsid w:val="002248F3"/>
    <w:rsid w:val="0023085C"/>
    <w:rsid w:val="00242683"/>
    <w:rsid w:val="00242B69"/>
    <w:rsid w:val="00244818"/>
    <w:rsid w:val="00245D22"/>
    <w:rsid w:val="0025487D"/>
    <w:rsid w:val="00256FB3"/>
    <w:rsid w:val="0025771D"/>
    <w:rsid w:val="00262DB9"/>
    <w:rsid w:val="00264763"/>
    <w:rsid w:val="00265316"/>
    <w:rsid w:val="00265865"/>
    <w:rsid w:val="00267D4C"/>
    <w:rsid w:val="00270647"/>
    <w:rsid w:val="0027492C"/>
    <w:rsid w:val="00274C4E"/>
    <w:rsid w:val="00275ED3"/>
    <w:rsid w:val="0027654B"/>
    <w:rsid w:val="00277165"/>
    <w:rsid w:val="00277F74"/>
    <w:rsid w:val="002801B8"/>
    <w:rsid w:val="00280F8A"/>
    <w:rsid w:val="0028159A"/>
    <w:rsid w:val="00282B89"/>
    <w:rsid w:val="002845D4"/>
    <w:rsid w:val="00285A97"/>
    <w:rsid w:val="0028610F"/>
    <w:rsid w:val="00286221"/>
    <w:rsid w:val="00286E18"/>
    <w:rsid w:val="00287837"/>
    <w:rsid w:val="00291985"/>
    <w:rsid w:val="002940C7"/>
    <w:rsid w:val="00294A22"/>
    <w:rsid w:val="0029758B"/>
    <w:rsid w:val="002A0A91"/>
    <w:rsid w:val="002A5376"/>
    <w:rsid w:val="002A596B"/>
    <w:rsid w:val="002B185C"/>
    <w:rsid w:val="002B1871"/>
    <w:rsid w:val="002B6745"/>
    <w:rsid w:val="002C4E65"/>
    <w:rsid w:val="002D16BB"/>
    <w:rsid w:val="002D291E"/>
    <w:rsid w:val="002E085D"/>
    <w:rsid w:val="002E5263"/>
    <w:rsid w:val="002E6108"/>
    <w:rsid w:val="002E6D81"/>
    <w:rsid w:val="002F405F"/>
    <w:rsid w:val="002F793C"/>
    <w:rsid w:val="00300885"/>
    <w:rsid w:val="003013C9"/>
    <w:rsid w:val="00303193"/>
    <w:rsid w:val="00304BC7"/>
    <w:rsid w:val="00306AC7"/>
    <w:rsid w:val="00307F61"/>
    <w:rsid w:val="00310ABF"/>
    <w:rsid w:val="00310D83"/>
    <w:rsid w:val="003119A5"/>
    <w:rsid w:val="00314095"/>
    <w:rsid w:val="00321C19"/>
    <w:rsid w:val="00330303"/>
    <w:rsid w:val="0033339B"/>
    <w:rsid w:val="00334374"/>
    <w:rsid w:val="00335A9F"/>
    <w:rsid w:val="003369B9"/>
    <w:rsid w:val="003375E9"/>
    <w:rsid w:val="0033774B"/>
    <w:rsid w:val="0034257A"/>
    <w:rsid w:val="00346AB8"/>
    <w:rsid w:val="00346FEC"/>
    <w:rsid w:val="00350F18"/>
    <w:rsid w:val="003513C3"/>
    <w:rsid w:val="00353322"/>
    <w:rsid w:val="00353883"/>
    <w:rsid w:val="0035448F"/>
    <w:rsid w:val="003544F6"/>
    <w:rsid w:val="00355E6D"/>
    <w:rsid w:val="00357D3B"/>
    <w:rsid w:val="00360276"/>
    <w:rsid w:val="0037215F"/>
    <w:rsid w:val="0037354D"/>
    <w:rsid w:val="00376A18"/>
    <w:rsid w:val="0038007D"/>
    <w:rsid w:val="00385AD3"/>
    <w:rsid w:val="00387A10"/>
    <w:rsid w:val="00390902"/>
    <w:rsid w:val="003929E6"/>
    <w:rsid w:val="003949D8"/>
    <w:rsid w:val="00394DD3"/>
    <w:rsid w:val="003967AF"/>
    <w:rsid w:val="003A1321"/>
    <w:rsid w:val="003A29CD"/>
    <w:rsid w:val="003A2CA4"/>
    <w:rsid w:val="003A5081"/>
    <w:rsid w:val="003A5956"/>
    <w:rsid w:val="003A6EEA"/>
    <w:rsid w:val="003B174D"/>
    <w:rsid w:val="003B1CDB"/>
    <w:rsid w:val="003B4104"/>
    <w:rsid w:val="003D13F0"/>
    <w:rsid w:val="003D155D"/>
    <w:rsid w:val="003D29E1"/>
    <w:rsid w:val="003D333E"/>
    <w:rsid w:val="003D67A5"/>
    <w:rsid w:val="003E098F"/>
    <w:rsid w:val="003E5F9B"/>
    <w:rsid w:val="003E611C"/>
    <w:rsid w:val="003F073F"/>
    <w:rsid w:val="004105F3"/>
    <w:rsid w:val="00415A2B"/>
    <w:rsid w:val="004212AC"/>
    <w:rsid w:val="0042243C"/>
    <w:rsid w:val="00422859"/>
    <w:rsid w:val="00424C5F"/>
    <w:rsid w:val="0043109E"/>
    <w:rsid w:val="00431F6A"/>
    <w:rsid w:val="004322CC"/>
    <w:rsid w:val="00432565"/>
    <w:rsid w:val="00440D44"/>
    <w:rsid w:val="00441C2F"/>
    <w:rsid w:val="00443457"/>
    <w:rsid w:val="00447CED"/>
    <w:rsid w:val="00453528"/>
    <w:rsid w:val="00456A74"/>
    <w:rsid w:val="004619D9"/>
    <w:rsid w:val="004652D0"/>
    <w:rsid w:val="004661A3"/>
    <w:rsid w:val="00470078"/>
    <w:rsid w:val="0047068B"/>
    <w:rsid w:val="00471008"/>
    <w:rsid w:val="004710E0"/>
    <w:rsid w:val="00476BFF"/>
    <w:rsid w:val="00477B4D"/>
    <w:rsid w:val="00480A01"/>
    <w:rsid w:val="00486912"/>
    <w:rsid w:val="004876E8"/>
    <w:rsid w:val="00487B21"/>
    <w:rsid w:val="00490419"/>
    <w:rsid w:val="00491A5F"/>
    <w:rsid w:val="00491DCA"/>
    <w:rsid w:val="004961FF"/>
    <w:rsid w:val="004A054A"/>
    <w:rsid w:val="004A2536"/>
    <w:rsid w:val="004A2ADC"/>
    <w:rsid w:val="004A351F"/>
    <w:rsid w:val="004A4D17"/>
    <w:rsid w:val="004B0D90"/>
    <w:rsid w:val="004B2CDA"/>
    <w:rsid w:val="004B52A6"/>
    <w:rsid w:val="004B5465"/>
    <w:rsid w:val="004B60C8"/>
    <w:rsid w:val="004B7C0D"/>
    <w:rsid w:val="004C1E10"/>
    <w:rsid w:val="004C4E5D"/>
    <w:rsid w:val="004C517D"/>
    <w:rsid w:val="004D1C79"/>
    <w:rsid w:val="004D26B2"/>
    <w:rsid w:val="004D3B67"/>
    <w:rsid w:val="004D4B97"/>
    <w:rsid w:val="004E080B"/>
    <w:rsid w:val="004E101E"/>
    <w:rsid w:val="004E3E38"/>
    <w:rsid w:val="004E6593"/>
    <w:rsid w:val="004E758E"/>
    <w:rsid w:val="004E7897"/>
    <w:rsid w:val="004F0042"/>
    <w:rsid w:val="004F0B59"/>
    <w:rsid w:val="004F291D"/>
    <w:rsid w:val="004F2B8F"/>
    <w:rsid w:val="004F61DB"/>
    <w:rsid w:val="005003AD"/>
    <w:rsid w:val="00501AA0"/>
    <w:rsid w:val="0050235D"/>
    <w:rsid w:val="005066CB"/>
    <w:rsid w:val="005104D4"/>
    <w:rsid w:val="00512D9C"/>
    <w:rsid w:val="0051747E"/>
    <w:rsid w:val="00524964"/>
    <w:rsid w:val="005250EA"/>
    <w:rsid w:val="005271C1"/>
    <w:rsid w:val="005276BB"/>
    <w:rsid w:val="00527A73"/>
    <w:rsid w:val="00543AA2"/>
    <w:rsid w:val="0054420E"/>
    <w:rsid w:val="005443C0"/>
    <w:rsid w:val="00547B73"/>
    <w:rsid w:val="0055391D"/>
    <w:rsid w:val="00554476"/>
    <w:rsid w:val="00557DF1"/>
    <w:rsid w:val="0056305E"/>
    <w:rsid w:val="00563F39"/>
    <w:rsid w:val="00563FF9"/>
    <w:rsid w:val="00564032"/>
    <w:rsid w:val="00567FC9"/>
    <w:rsid w:val="00571CE2"/>
    <w:rsid w:val="00572571"/>
    <w:rsid w:val="00573E81"/>
    <w:rsid w:val="00575396"/>
    <w:rsid w:val="005768EB"/>
    <w:rsid w:val="00583563"/>
    <w:rsid w:val="00586613"/>
    <w:rsid w:val="005872AC"/>
    <w:rsid w:val="00592CF6"/>
    <w:rsid w:val="00595C5E"/>
    <w:rsid w:val="00597018"/>
    <w:rsid w:val="0059755C"/>
    <w:rsid w:val="005A0798"/>
    <w:rsid w:val="005B03E2"/>
    <w:rsid w:val="005B129F"/>
    <w:rsid w:val="005B336A"/>
    <w:rsid w:val="005B3430"/>
    <w:rsid w:val="005B4A4A"/>
    <w:rsid w:val="005C3897"/>
    <w:rsid w:val="005C6A52"/>
    <w:rsid w:val="005C7267"/>
    <w:rsid w:val="005D3171"/>
    <w:rsid w:val="005D3271"/>
    <w:rsid w:val="005D33B6"/>
    <w:rsid w:val="005D42AC"/>
    <w:rsid w:val="005D7EC0"/>
    <w:rsid w:val="005E2225"/>
    <w:rsid w:val="005E24F0"/>
    <w:rsid w:val="005F0AFE"/>
    <w:rsid w:val="005F338C"/>
    <w:rsid w:val="005F423C"/>
    <w:rsid w:val="005F4DD0"/>
    <w:rsid w:val="005F6891"/>
    <w:rsid w:val="005F70A2"/>
    <w:rsid w:val="00600071"/>
    <w:rsid w:val="00603A32"/>
    <w:rsid w:val="00603FB5"/>
    <w:rsid w:val="00605B14"/>
    <w:rsid w:val="00610128"/>
    <w:rsid w:val="00611D3B"/>
    <w:rsid w:val="00613D99"/>
    <w:rsid w:val="006141B5"/>
    <w:rsid w:val="006202B6"/>
    <w:rsid w:val="006248D3"/>
    <w:rsid w:val="00625FD7"/>
    <w:rsid w:val="0062628D"/>
    <w:rsid w:val="006267F1"/>
    <w:rsid w:val="006304E7"/>
    <w:rsid w:val="00630ECD"/>
    <w:rsid w:val="00641423"/>
    <w:rsid w:val="00646A42"/>
    <w:rsid w:val="00647797"/>
    <w:rsid w:val="0064794A"/>
    <w:rsid w:val="00650316"/>
    <w:rsid w:val="00652C21"/>
    <w:rsid w:val="00655257"/>
    <w:rsid w:val="00656F79"/>
    <w:rsid w:val="00662B23"/>
    <w:rsid w:val="00664671"/>
    <w:rsid w:val="00664DFA"/>
    <w:rsid w:val="00665A33"/>
    <w:rsid w:val="00666BD3"/>
    <w:rsid w:val="006733D9"/>
    <w:rsid w:val="00673CEE"/>
    <w:rsid w:val="006806F3"/>
    <w:rsid w:val="00680A3A"/>
    <w:rsid w:val="00685780"/>
    <w:rsid w:val="00691307"/>
    <w:rsid w:val="00691AB0"/>
    <w:rsid w:val="0069209F"/>
    <w:rsid w:val="006952C5"/>
    <w:rsid w:val="00696EE6"/>
    <w:rsid w:val="006A2913"/>
    <w:rsid w:val="006A3F31"/>
    <w:rsid w:val="006A5B9A"/>
    <w:rsid w:val="006B022E"/>
    <w:rsid w:val="006B3AA3"/>
    <w:rsid w:val="006B3B7F"/>
    <w:rsid w:val="006B4CB6"/>
    <w:rsid w:val="006B5EF7"/>
    <w:rsid w:val="006D5A5C"/>
    <w:rsid w:val="006D5B43"/>
    <w:rsid w:val="006D5E72"/>
    <w:rsid w:val="006D6D62"/>
    <w:rsid w:val="006D707C"/>
    <w:rsid w:val="006D725A"/>
    <w:rsid w:val="006D755A"/>
    <w:rsid w:val="006E40C5"/>
    <w:rsid w:val="006E4402"/>
    <w:rsid w:val="006E459B"/>
    <w:rsid w:val="006F0E54"/>
    <w:rsid w:val="006F78EE"/>
    <w:rsid w:val="006F7AA4"/>
    <w:rsid w:val="00704137"/>
    <w:rsid w:val="00706D4E"/>
    <w:rsid w:val="00710518"/>
    <w:rsid w:val="00713376"/>
    <w:rsid w:val="00714C80"/>
    <w:rsid w:val="00715270"/>
    <w:rsid w:val="00717692"/>
    <w:rsid w:val="00717AAF"/>
    <w:rsid w:val="00722AD5"/>
    <w:rsid w:val="007243DA"/>
    <w:rsid w:val="00724E76"/>
    <w:rsid w:val="00725441"/>
    <w:rsid w:val="007262E5"/>
    <w:rsid w:val="00726614"/>
    <w:rsid w:val="00727520"/>
    <w:rsid w:val="00730B92"/>
    <w:rsid w:val="00731903"/>
    <w:rsid w:val="007368F0"/>
    <w:rsid w:val="0074176A"/>
    <w:rsid w:val="0074642B"/>
    <w:rsid w:val="00746936"/>
    <w:rsid w:val="00747AB1"/>
    <w:rsid w:val="00752870"/>
    <w:rsid w:val="00753567"/>
    <w:rsid w:val="00761C11"/>
    <w:rsid w:val="007649B1"/>
    <w:rsid w:val="00767CDE"/>
    <w:rsid w:val="0077185D"/>
    <w:rsid w:val="00771DC0"/>
    <w:rsid w:val="00774793"/>
    <w:rsid w:val="00775EE9"/>
    <w:rsid w:val="00776532"/>
    <w:rsid w:val="00777748"/>
    <w:rsid w:val="007858B9"/>
    <w:rsid w:val="00791DE3"/>
    <w:rsid w:val="007964FE"/>
    <w:rsid w:val="007A240A"/>
    <w:rsid w:val="007B28C8"/>
    <w:rsid w:val="007B5374"/>
    <w:rsid w:val="007B6422"/>
    <w:rsid w:val="007B64B5"/>
    <w:rsid w:val="007C196B"/>
    <w:rsid w:val="007C5199"/>
    <w:rsid w:val="007D12C0"/>
    <w:rsid w:val="007D44C0"/>
    <w:rsid w:val="007D6033"/>
    <w:rsid w:val="007D692E"/>
    <w:rsid w:val="007E3E15"/>
    <w:rsid w:val="007E71E5"/>
    <w:rsid w:val="007F16F4"/>
    <w:rsid w:val="007F50AF"/>
    <w:rsid w:val="007F7810"/>
    <w:rsid w:val="00800F00"/>
    <w:rsid w:val="008015C3"/>
    <w:rsid w:val="008020CE"/>
    <w:rsid w:val="008035FE"/>
    <w:rsid w:val="00805A67"/>
    <w:rsid w:val="00812C08"/>
    <w:rsid w:val="0081359A"/>
    <w:rsid w:val="00813B83"/>
    <w:rsid w:val="0081449E"/>
    <w:rsid w:val="008216AB"/>
    <w:rsid w:val="00822AFC"/>
    <w:rsid w:val="00823C62"/>
    <w:rsid w:val="00826AC0"/>
    <w:rsid w:val="008312A8"/>
    <w:rsid w:val="008317A1"/>
    <w:rsid w:val="00831C38"/>
    <w:rsid w:val="00832469"/>
    <w:rsid w:val="0083392C"/>
    <w:rsid w:val="00833D1D"/>
    <w:rsid w:val="00833E42"/>
    <w:rsid w:val="00835AB1"/>
    <w:rsid w:val="00837225"/>
    <w:rsid w:val="00837880"/>
    <w:rsid w:val="008449E8"/>
    <w:rsid w:val="00844C08"/>
    <w:rsid w:val="00851653"/>
    <w:rsid w:val="00851734"/>
    <w:rsid w:val="00851880"/>
    <w:rsid w:val="008571C2"/>
    <w:rsid w:val="0086119F"/>
    <w:rsid w:val="00861F53"/>
    <w:rsid w:val="00863344"/>
    <w:rsid w:val="0086353F"/>
    <w:rsid w:val="00864C0F"/>
    <w:rsid w:val="00864EC1"/>
    <w:rsid w:val="0086529C"/>
    <w:rsid w:val="008702EB"/>
    <w:rsid w:val="00874A3F"/>
    <w:rsid w:val="00877569"/>
    <w:rsid w:val="008810A8"/>
    <w:rsid w:val="008877C9"/>
    <w:rsid w:val="0089027D"/>
    <w:rsid w:val="008902E4"/>
    <w:rsid w:val="00891094"/>
    <w:rsid w:val="008959B2"/>
    <w:rsid w:val="00896043"/>
    <w:rsid w:val="0089668A"/>
    <w:rsid w:val="00896A47"/>
    <w:rsid w:val="00896F9F"/>
    <w:rsid w:val="008A3390"/>
    <w:rsid w:val="008A342D"/>
    <w:rsid w:val="008A4C5C"/>
    <w:rsid w:val="008A6E0C"/>
    <w:rsid w:val="008B0199"/>
    <w:rsid w:val="008B0350"/>
    <w:rsid w:val="008B0C68"/>
    <w:rsid w:val="008B147F"/>
    <w:rsid w:val="008B41C1"/>
    <w:rsid w:val="008B71D7"/>
    <w:rsid w:val="008B75FD"/>
    <w:rsid w:val="008C3E1A"/>
    <w:rsid w:val="008C4D88"/>
    <w:rsid w:val="008C6402"/>
    <w:rsid w:val="008C674A"/>
    <w:rsid w:val="008D5C93"/>
    <w:rsid w:val="008D64FD"/>
    <w:rsid w:val="008D72A0"/>
    <w:rsid w:val="008E032D"/>
    <w:rsid w:val="008E2487"/>
    <w:rsid w:val="008E4CA5"/>
    <w:rsid w:val="008E4FAA"/>
    <w:rsid w:val="008E5455"/>
    <w:rsid w:val="008E6A62"/>
    <w:rsid w:val="008E73C1"/>
    <w:rsid w:val="008F0E0E"/>
    <w:rsid w:val="008F383D"/>
    <w:rsid w:val="008F5095"/>
    <w:rsid w:val="008F7607"/>
    <w:rsid w:val="0090229B"/>
    <w:rsid w:val="00902C83"/>
    <w:rsid w:val="00903BC8"/>
    <w:rsid w:val="009101FA"/>
    <w:rsid w:val="009176CF"/>
    <w:rsid w:val="00921F42"/>
    <w:rsid w:val="009257BA"/>
    <w:rsid w:val="00926352"/>
    <w:rsid w:val="009267E9"/>
    <w:rsid w:val="00934714"/>
    <w:rsid w:val="0093559E"/>
    <w:rsid w:val="00936127"/>
    <w:rsid w:val="009366D8"/>
    <w:rsid w:val="00937A7A"/>
    <w:rsid w:val="0094090C"/>
    <w:rsid w:val="00941B22"/>
    <w:rsid w:val="0094264D"/>
    <w:rsid w:val="009438FA"/>
    <w:rsid w:val="00944172"/>
    <w:rsid w:val="009477AC"/>
    <w:rsid w:val="00950931"/>
    <w:rsid w:val="009525ED"/>
    <w:rsid w:val="00953034"/>
    <w:rsid w:val="009542B4"/>
    <w:rsid w:val="00956270"/>
    <w:rsid w:val="0096245D"/>
    <w:rsid w:val="009628BE"/>
    <w:rsid w:val="00962C95"/>
    <w:rsid w:val="00965E52"/>
    <w:rsid w:val="0096606B"/>
    <w:rsid w:val="00966F87"/>
    <w:rsid w:val="00970EBF"/>
    <w:rsid w:val="00972B7E"/>
    <w:rsid w:val="00982FE3"/>
    <w:rsid w:val="00983783"/>
    <w:rsid w:val="00983D79"/>
    <w:rsid w:val="0098589A"/>
    <w:rsid w:val="00985D1B"/>
    <w:rsid w:val="009903DE"/>
    <w:rsid w:val="009947BA"/>
    <w:rsid w:val="00994EBE"/>
    <w:rsid w:val="00997DAE"/>
    <w:rsid w:val="009A2F93"/>
    <w:rsid w:val="009A3927"/>
    <w:rsid w:val="009A4808"/>
    <w:rsid w:val="009B31E6"/>
    <w:rsid w:val="009B3B8E"/>
    <w:rsid w:val="009D2673"/>
    <w:rsid w:val="009D5312"/>
    <w:rsid w:val="009D59CD"/>
    <w:rsid w:val="009D5A75"/>
    <w:rsid w:val="009D7459"/>
    <w:rsid w:val="009E226A"/>
    <w:rsid w:val="009E226D"/>
    <w:rsid w:val="009E3537"/>
    <w:rsid w:val="009E595A"/>
    <w:rsid w:val="009E613C"/>
    <w:rsid w:val="009E6435"/>
    <w:rsid w:val="009E661F"/>
    <w:rsid w:val="009E6A35"/>
    <w:rsid w:val="009E6F7E"/>
    <w:rsid w:val="009F02EB"/>
    <w:rsid w:val="009F15C2"/>
    <w:rsid w:val="009F1C12"/>
    <w:rsid w:val="009F3489"/>
    <w:rsid w:val="009F368A"/>
    <w:rsid w:val="009F6845"/>
    <w:rsid w:val="00A019AD"/>
    <w:rsid w:val="00A03C4B"/>
    <w:rsid w:val="00A06091"/>
    <w:rsid w:val="00A11A55"/>
    <w:rsid w:val="00A11AE7"/>
    <w:rsid w:val="00A14883"/>
    <w:rsid w:val="00A200EB"/>
    <w:rsid w:val="00A20653"/>
    <w:rsid w:val="00A20AD0"/>
    <w:rsid w:val="00A210F4"/>
    <w:rsid w:val="00A225A2"/>
    <w:rsid w:val="00A2714B"/>
    <w:rsid w:val="00A314DA"/>
    <w:rsid w:val="00A31F82"/>
    <w:rsid w:val="00A3217A"/>
    <w:rsid w:val="00A32ECB"/>
    <w:rsid w:val="00A33933"/>
    <w:rsid w:val="00A403E6"/>
    <w:rsid w:val="00A408CB"/>
    <w:rsid w:val="00A44CFD"/>
    <w:rsid w:val="00A45565"/>
    <w:rsid w:val="00A51584"/>
    <w:rsid w:val="00A52A96"/>
    <w:rsid w:val="00A52C72"/>
    <w:rsid w:val="00A57C65"/>
    <w:rsid w:val="00A60E4F"/>
    <w:rsid w:val="00A61652"/>
    <w:rsid w:val="00A634FE"/>
    <w:rsid w:val="00A65A32"/>
    <w:rsid w:val="00A66786"/>
    <w:rsid w:val="00A668DA"/>
    <w:rsid w:val="00A66A46"/>
    <w:rsid w:val="00A670FD"/>
    <w:rsid w:val="00A67243"/>
    <w:rsid w:val="00A7013D"/>
    <w:rsid w:val="00A7057C"/>
    <w:rsid w:val="00A74842"/>
    <w:rsid w:val="00A7592D"/>
    <w:rsid w:val="00A818F8"/>
    <w:rsid w:val="00A81E63"/>
    <w:rsid w:val="00A856FF"/>
    <w:rsid w:val="00A91E03"/>
    <w:rsid w:val="00A93D3A"/>
    <w:rsid w:val="00A95158"/>
    <w:rsid w:val="00A96678"/>
    <w:rsid w:val="00A97C23"/>
    <w:rsid w:val="00AA093F"/>
    <w:rsid w:val="00AA0B06"/>
    <w:rsid w:val="00AA1EFE"/>
    <w:rsid w:val="00AA493B"/>
    <w:rsid w:val="00AA569A"/>
    <w:rsid w:val="00AA59E5"/>
    <w:rsid w:val="00AB1E05"/>
    <w:rsid w:val="00AB219B"/>
    <w:rsid w:val="00AB271C"/>
    <w:rsid w:val="00AB2928"/>
    <w:rsid w:val="00AB6024"/>
    <w:rsid w:val="00AB663E"/>
    <w:rsid w:val="00AB69EB"/>
    <w:rsid w:val="00AC1428"/>
    <w:rsid w:val="00AC400F"/>
    <w:rsid w:val="00AC5FEA"/>
    <w:rsid w:val="00AC6B12"/>
    <w:rsid w:val="00AC7A9F"/>
    <w:rsid w:val="00AD0A23"/>
    <w:rsid w:val="00AD1627"/>
    <w:rsid w:val="00AD1852"/>
    <w:rsid w:val="00AD1F33"/>
    <w:rsid w:val="00AD2164"/>
    <w:rsid w:val="00AD3D6B"/>
    <w:rsid w:val="00AD4182"/>
    <w:rsid w:val="00AD5499"/>
    <w:rsid w:val="00AD5E15"/>
    <w:rsid w:val="00AE16B8"/>
    <w:rsid w:val="00AE2D6F"/>
    <w:rsid w:val="00AE38B6"/>
    <w:rsid w:val="00AE5692"/>
    <w:rsid w:val="00AE5B84"/>
    <w:rsid w:val="00AE7BA7"/>
    <w:rsid w:val="00AF137F"/>
    <w:rsid w:val="00AF3604"/>
    <w:rsid w:val="00AF48ED"/>
    <w:rsid w:val="00AF60BD"/>
    <w:rsid w:val="00B0065C"/>
    <w:rsid w:val="00B01E78"/>
    <w:rsid w:val="00B043BC"/>
    <w:rsid w:val="00B04E60"/>
    <w:rsid w:val="00B05E48"/>
    <w:rsid w:val="00B05FE3"/>
    <w:rsid w:val="00B06000"/>
    <w:rsid w:val="00B12E33"/>
    <w:rsid w:val="00B1598A"/>
    <w:rsid w:val="00B17854"/>
    <w:rsid w:val="00B2129B"/>
    <w:rsid w:val="00B2216E"/>
    <w:rsid w:val="00B26E3D"/>
    <w:rsid w:val="00B314A0"/>
    <w:rsid w:val="00B362A8"/>
    <w:rsid w:val="00B4604D"/>
    <w:rsid w:val="00B465E6"/>
    <w:rsid w:val="00B50617"/>
    <w:rsid w:val="00B50792"/>
    <w:rsid w:val="00B50E18"/>
    <w:rsid w:val="00B52554"/>
    <w:rsid w:val="00B55B98"/>
    <w:rsid w:val="00B57762"/>
    <w:rsid w:val="00B6077A"/>
    <w:rsid w:val="00B60F29"/>
    <w:rsid w:val="00B6255B"/>
    <w:rsid w:val="00B62E55"/>
    <w:rsid w:val="00B64473"/>
    <w:rsid w:val="00B6453A"/>
    <w:rsid w:val="00B671C0"/>
    <w:rsid w:val="00B806CD"/>
    <w:rsid w:val="00B80C5A"/>
    <w:rsid w:val="00B816E0"/>
    <w:rsid w:val="00B842C8"/>
    <w:rsid w:val="00B8469A"/>
    <w:rsid w:val="00B87470"/>
    <w:rsid w:val="00B9033C"/>
    <w:rsid w:val="00B90933"/>
    <w:rsid w:val="00B90E46"/>
    <w:rsid w:val="00B91041"/>
    <w:rsid w:val="00B91D94"/>
    <w:rsid w:val="00B97C72"/>
    <w:rsid w:val="00B97D0A"/>
    <w:rsid w:val="00BA0C88"/>
    <w:rsid w:val="00BA5AA4"/>
    <w:rsid w:val="00BA711D"/>
    <w:rsid w:val="00BB3853"/>
    <w:rsid w:val="00BB47AF"/>
    <w:rsid w:val="00BB4C23"/>
    <w:rsid w:val="00BB4F9F"/>
    <w:rsid w:val="00BB641E"/>
    <w:rsid w:val="00BC08BB"/>
    <w:rsid w:val="00BC0C14"/>
    <w:rsid w:val="00BC2000"/>
    <w:rsid w:val="00BC2A9E"/>
    <w:rsid w:val="00BC72FC"/>
    <w:rsid w:val="00BC7A53"/>
    <w:rsid w:val="00BD1FDF"/>
    <w:rsid w:val="00BD2F9F"/>
    <w:rsid w:val="00BD519C"/>
    <w:rsid w:val="00BD57F3"/>
    <w:rsid w:val="00BD5C51"/>
    <w:rsid w:val="00BE0FA6"/>
    <w:rsid w:val="00BE2AB5"/>
    <w:rsid w:val="00BE68CA"/>
    <w:rsid w:val="00BF0064"/>
    <w:rsid w:val="00BF4E6D"/>
    <w:rsid w:val="00BF67A0"/>
    <w:rsid w:val="00C011AF"/>
    <w:rsid w:val="00C12F2B"/>
    <w:rsid w:val="00C13A62"/>
    <w:rsid w:val="00C13DA8"/>
    <w:rsid w:val="00C15EFB"/>
    <w:rsid w:val="00C17ED5"/>
    <w:rsid w:val="00C21FEB"/>
    <w:rsid w:val="00C2444C"/>
    <w:rsid w:val="00C26CA0"/>
    <w:rsid w:val="00C300B6"/>
    <w:rsid w:val="00C32448"/>
    <w:rsid w:val="00C32466"/>
    <w:rsid w:val="00C335F4"/>
    <w:rsid w:val="00C42BAA"/>
    <w:rsid w:val="00C43AF2"/>
    <w:rsid w:val="00C524F6"/>
    <w:rsid w:val="00C53C89"/>
    <w:rsid w:val="00C54395"/>
    <w:rsid w:val="00C54EA8"/>
    <w:rsid w:val="00C61DC6"/>
    <w:rsid w:val="00C64D07"/>
    <w:rsid w:val="00C71B18"/>
    <w:rsid w:val="00C7452D"/>
    <w:rsid w:val="00C77164"/>
    <w:rsid w:val="00C8075C"/>
    <w:rsid w:val="00C80837"/>
    <w:rsid w:val="00C81E6C"/>
    <w:rsid w:val="00C82E22"/>
    <w:rsid w:val="00C92062"/>
    <w:rsid w:val="00C934B4"/>
    <w:rsid w:val="00C94375"/>
    <w:rsid w:val="00C946A8"/>
    <w:rsid w:val="00C9645B"/>
    <w:rsid w:val="00CA0093"/>
    <w:rsid w:val="00CA018A"/>
    <w:rsid w:val="00CA2C7E"/>
    <w:rsid w:val="00CA4745"/>
    <w:rsid w:val="00CA5F20"/>
    <w:rsid w:val="00CA6D4C"/>
    <w:rsid w:val="00CB23BD"/>
    <w:rsid w:val="00CB4213"/>
    <w:rsid w:val="00CC3284"/>
    <w:rsid w:val="00CC449E"/>
    <w:rsid w:val="00CC4E58"/>
    <w:rsid w:val="00CC6072"/>
    <w:rsid w:val="00CC74E1"/>
    <w:rsid w:val="00CD0EF0"/>
    <w:rsid w:val="00CD183E"/>
    <w:rsid w:val="00CD296A"/>
    <w:rsid w:val="00CD2A9C"/>
    <w:rsid w:val="00CE1653"/>
    <w:rsid w:val="00CE4393"/>
    <w:rsid w:val="00CE4710"/>
    <w:rsid w:val="00CF0EC1"/>
    <w:rsid w:val="00CF383F"/>
    <w:rsid w:val="00CF3D1F"/>
    <w:rsid w:val="00CF59E6"/>
    <w:rsid w:val="00CF7C24"/>
    <w:rsid w:val="00D12D0A"/>
    <w:rsid w:val="00D13100"/>
    <w:rsid w:val="00D14798"/>
    <w:rsid w:val="00D21098"/>
    <w:rsid w:val="00D225F4"/>
    <w:rsid w:val="00D22665"/>
    <w:rsid w:val="00D22A7F"/>
    <w:rsid w:val="00D31398"/>
    <w:rsid w:val="00D3149E"/>
    <w:rsid w:val="00D315F9"/>
    <w:rsid w:val="00D34088"/>
    <w:rsid w:val="00D35FA2"/>
    <w:rsid w:val="00D3795E"/>
    <w:rsid w:val="00D37D7F"/>
    <w:rsid w:val="00D43CC7"/>
    <w:rsid w:val="00D45161"/>
    <w:rsid w:val="00D45A5D"/>
    <w:rsid w:val="00D4642A"/>
    <w:rsid w:val="00D47CAF"/>
    <w:rsid w:val="00D53AF0"/>
    <w:rsid w:val="00D558F7"/>
    <w:rsid w:val="00D6186E"/>
    <w:rsid w:val="00D7367C"/>
    <w:rsid w:val="00D753E2"/>
    <w:rsid w:val="00D8027C"/>
    <w:rsid w:val="00D8464F"/>
    <w:rsid w:val="00D85FEF"/>
    <w:rsid w:val="00D86516"/>
    <w:rsid w:val="00D91FCB"/>
    <w:rsid w:val="00D92AEF"/>
    <w:rsid w:val="00D949C4"/>
    <w:rsid w:val="00D95B6A"/>
    <w:rsid w:val="00DA31EA"/>
    <w:rsid w:val="00DA32C7"/>
    <w:rsid w:val="00DA3C33"/>
    <w:rsid w:val="00DA6B7F"/>
    <w:rsid w:val="00DB0A6F"/>
    <w:rsid w:val="00DB5825"/>
    <w:rsid w:val="00DC0E9A"/>
    <w:rsid w:val="00DC44E1"/>
    <w:rsid w:val="00DC5584"/>
    <w:rsid w:val="00DD02D8"/>
    <w:rsid w:val="00DD28F5"/>
    <w:rsid w:val="00DD4640"/>
    <w:rsid w:val="00DD59D1"/>
    <w:rsid w:val="00DE208C"/>
    <w:rsid w:val="00DE456E"/>
    <w:rsid w:val="00DE6F70"/>
    <w:rsid w:val="00DF1106"/>
    <w:rsid w:val="00DF16AB"/>
    <w:rsid w:val="00E00440"/>
    <w:rsid w:val="00E01488"/>
    <w:rsid w:val="00E05C94"/>
    <w:rsid w:val="00E0745F"/>
    <w:rsid w:val="00E1022F"/>
    <w:rsid w:val="00E1094D"/>
    <w:rsid w:val="00E11412"/>
    <w:rsid w:val="00E14EDE"/>
    <w:rsid w:val="00E15A83"/>
    <w:rsid w:val="00E15B12"/>
    <w:rsid w:val="00E22531"/>
    <w:rsid w:val="00E23841"/>
    <w:rsid w:val="00E24BB7"/>
    <w:rsid w:val="00E30BBE"/>
    <w:rsid w:val="00E31FA8"/>
    <w:rsid w:val="00E322C5"/>
    <w:rsid w:val="00E35CD9"/>
    <w:rsid w:val="00E40AB9"/>
    <w:rsid w:val="00E42339"/>
    <w:rsid w:val="00E429EE"/>
    <w:rsid w:val="00E4322D"/>
    <w:rsid w:val="00E4536C"/>
    <w:rsid w:val="00E467F1"/>
    <w:rsid w:val="00E47317"/>
    <w:rsid w:val="00E54391"/>
    <w:rsid w:val="00E57629"/>
    <w:rsid w:val="00E615FD"/>
    <w:rsid w:val="00E6392D"/>
    <w:rsid w:val="00E67F0B"/>
    <w:rsid w:val="00E751B3"/>
    <w:rsid w:val="00E76ED2"/>
    <w:rsid w:val="00E803A5"/>
    <w:rsid w:val="00E82A08"/>
    <w:rsid w:val="00E84040"/>
    <w:rsid w:val="00E91805"/>
    <w:rsid w:val="00E958F1"/>
    <w:rsid w:val="00E967F0"/>
    <w:rsid w:val="00E974B7"/>
    <w:rsid w:val="00E97C85"/>
    <w:rsid w:val="00EA05DA"/>
    <w:rsid w:val="00EA2C65"/>
    <w:rsid w:val="00EB40E3"/>
    <w:rsid w:val="00EC42D0"/>
    <w:rsid w:val="00EC5F32"/>
    <w:rsid w:val="00EC7640"/>
    <w:rsid w:val="00EC7741"/>
    <w:rsid w:val="00ED17B7"/>
    <w:rsid w:val="00ED3036"/>
    <w:rsid w:val="00ED36B9"/>
    <w:rsid w:val="00ED4095"/>
    <w:rsid w:val="00ED6150"/>
    <w:rsid w:val="00ED6AA8"/>
    <w:rsid w:val="00ED7505"/>
    <w:rsid w:val="00EE07F6"/>
    <w:rsid w:val="00EE42A6"/>
    <w:rsid w:val="00EF0ABD"/>
    <w:rsid w:val="00EF0F7E"/>
    <w:rsid w:val="00EF18A8"/>
    <w:rsid w:val="00EF3D1A"/>
    <w:rsid w:val="00EF4047"/>
    <w:rsid w:val="00EF428C"/>
    <w:rsid w:val="00EF51E5"/>
    <w:rsid w:val="00EF69CD"/>
    <w:rsid w:val="00EF77E9"/>
    <w:rsid w:val="00EF7D5A"/>
    <w:rsid w:val="00EF7E4E"/>
    <w:rsid w:val="00F004BF"/>
    <w:rsid w:val="00F00E52"/>
    <w:rsid w:val="00F02134"/>
    <w:rsid w:val="00F06D8B"/>
    <w:rsid w:val="00F1089A"/>
    <w:rsid w:val="00F12924"/>
    <w:rsid w:val="00F14DF6"/>
    <w:rsid w:val="00F24321"/>
    <w:rsid w:val="00F24D6E"/>
    <w:rsid w:val="00F27F36"/>
    <w:rsid w:val="00F33BAD"/>
    <w:rsid w:val="00F425B8"/>
    <w:rsid w:val="00F45A5B"/>
    <w:rsid w:val="00F50E3E"/>
    <w:rsid w:val="00F525DD"/>
    <w:rsid w:val="00F60DC7"/>
    <w:rsid w:val="00F614B5"/>
    <w:rsid w:val="00F71BFC"/>
    <w:rsid w:val="00F72681"/>
    <w:rsid w:val="00F72892"/>
    <w:rsid w:val="00F766E9"/>
    <w:rsid w:val="00F80FA4"/>
    <w:rsid w:val="00F81232"/>
    <w:rsid w:val="00F81651"/>
    <w:rsid w:val="00F82602"/>
    <w:rsid w:val="00F835DC"/>
    <w:rsid w:val="00F84E2C"/>
    <w:rsid w:val="00F85BFD"/>
    <w:rsid w:val="00F872BD"/>
    <w:rsid w:val="00F879C3"/>
    <w:rsid w:val="00F95F36"/>
    <w:rsid w:val="00FA1B2A"/>
    <w:rsid w:val="00FA2518"/>
    <w:rsid w:val="00FA314C"/>
    <w:rsid w:val="00FA3C4D"/>
    <w:rsid w:val="00FA4708"/>
    <w:rsid w:val="00FB1336"/>
    <w:rsid w:val="00FB295D"/>
    <w:rsid w:val="00FB44BE"/>
    <w:rsid w:val="00FB5001"/>
    <w:rsid w:val="00FB6C58"/>
    <w:rsid w:val="00FC1A37"/>
    <w:rsid w:val="00FD417D"/>
    <w:rsid w:val="00FD471C"/>
    <w:rsid w:val="00FD4759"/>
    <w:rsid w:val="00FD4845"/>
    <w:rsid w:val="00FE376D"/>
    <w:rsid w:val="00FE713E"/>
    <w:rsid w:val="00FF14D4"/>
    <w:rsid w:val="00FF1794"/>
    <w:rsid w:val="00FF1C05"/>
    <w:rsid w:val="00FF7D5E"/>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137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Bullet" w:uiPriority="99"/>
    <w:lsdException w:name="Title" w:qFormat="1"/>
    <w:lsdException w:name="Body Text" w:uiPriority="99"/>
    <w:lsdException w:name="Body Text Indent" w:uiPriority="99"/>
    <w:lsdException w:name="Subtitle" w:qFormat="1"/>
    <w:lsdException w:name="Body Text First Indent" w:uiPriority="99"/>
    <w:lsdException w:name="Body Text 2" w:uiPriority="99"/>
    <w:lsdException w:name="Body Text Indent 3" w:uiPriority="99"/>
    <w:lsdException w:name="Hyperlink" w:uiPriority="99"/>
    <w:lsdException w:name="FollowedHyperlink" w:uiPriority="99"/>
    <w:lsdException w:name="Strong" w:uiPriority="22" w:qFormat="1"/>
    <w:lsdException w:name="Emphasis" w:qFormat="1"/>
    <w:lsdException w:name="Document Map" w:uiPriority="99"/>
    <w:lsdException w:name="Plain Text" w:uiPriority="99"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201A21"/>
    <w:pPr>
      <w:spacing w:after="120"/>
      <w:ind w:firstLine="431"/>
      <w:jc w:val="both"/>
    </w:pPr>
    <w:rPr>
      <w:sz w:val="24"/>
      <w:szCs w:val="24"/>
    </w:rPr>
  </w:style>
  <w:style w:type="paragraph" w:styleId="Nadpis1">
    <w:name w:val="heading 1"/>
    <w:basedOn w:val="Normln"/>
    <w:next w:val="Normln"/>
    <w:link w:val="Nadpis1Char"/>
    <w:uiPriority w:val="9"/>
    <w:qFormat/>
    <w:rsid w:val="00E05C94"/>
    <w:pPr>
      <w:keepNext/>
      <w:pageBreakBefore/>
      <w:numPr>
        <w:numId w:val="1"/>
      </w:numPr>
      <w:tabs>
        <w:tab w:val="left" w:pos="426"/>
      </w:tabs>
      <w:spacing w:before="240" w:after="60"/>
      <w:ind w:left="431" w:hanging="431"/>
      <w:outlineLvl w:val="0"/>
    </w:pPr>
    <w:rPr>
      <w:rFonts w:cs="Arial"/>
      <w:b/>
      <w:bCs/>
      <w:kern w:val="32"/>
      <w:sz w:val="32"/>
      <w:szCs w:val="32"/>
    </w:rPr>
  </w:style>
  <w:style w:type="paragraph" w:styleId="Nadpis2">
    <w:name w:val="heading 2"/>
    <w:basedOn w:val="Normln"/>
    <w:next w:val="Normln"/>
    <w:link w:val="Nadpis2Char"/>
    <w:uiPriority w:val="9"/>
    <w:qFormat/>
    <w:rsid w:val="000B6854"/>
    <w:pPr>
      <w:keepNext/>
      <w:numPr>
        <w:ilvl w:val="1"/>
        <w:numId w:val="1"/>
      </w:numPr>
      <w:spacing w:before="240" w:after="60"/>
      <w:outlineLvl w:val="1"/>
    </w:pPr>
    <w:rPr>
      <w:b/>
      <w:bCs/>
      <w:iCs/>
      <w:sz w:val="28"/>
      <w:szCs w:val="28"/>
    </w:rPr>
  </w:style>
  <w:style w:type="paragraph" w:styleId="Nadpis3">
    <w:name w:val="heading 3"/>
    <w:basedOn w:val="Normln"/>
    <w:next w:val="Normln"/>
    <w:link w:val="Nadpis3Char"/>
    <w:qFormat/>
    <w:rsid w:val="000B6854"/>
    <w:pPr>
      <w:keepNext/>
      <w:numPr>
        <w:ilvl w:val="2"/>
        <w:numId w:val="1"/>
      </w:numPr>
      <w:spacing w:before="240" w:after="60"/>
      <w:outlineLvl w:val="2"/>
    </w:pPr>
    <w:rPr>
      <w:rFonts w:ascii="Cambria" w:hAnsi="Cambria"/>
      <w:b/>
      <w:bCs/>
      <w:sz w:val="26"/>
      <w:szCs w:val="26"/>
    </w:rPr>
  </w:style>
  <w:style w:type="paragraph" w:styleId="Nadpis4">
    <w:name w:val="heading 4"/>
    <w:basedOn w:val="Normln"/>
    <w:next w:val="Normln"/>
    <w:link w:val="Nadpis4Char"/>
    <w:uiPriority w:val="9"/>
    <w:qFormat/>
    <w:rsid w:val="00201A21"/>
    <w:pPr>
      <w:keepNext/>
      <w:numPr>
        <w:ilvl w:val="3"/>
        <w:numId w:val="1"/>
      </w:numPr>
      <w:spacing w:before="240" w:after="60"/>
      <w:outlineLvl w:val="3"/>
    </w:pPr>
    <w:rPr>
      <w:rFonts w:ascii="Calibri" w:hAnsi="Calibri"/>
      <w:b/>
      <w:bCs/>
      <w:sz w:val="26"/>
      <w:szCs w:val="28"/>
    </w:rPr>
  </w:style>
  <w:style w:type="paragraph" w:styleId="Nadpis5">
    <w:name w:val="heading 5"/>
    <w:basedOn w:val="Normln"/>
    <w:next w:val="Normln"/>
    <w:link w:val="Nadpis5Char"/>
    <w:uiPriority w:val="9"/>
    <w:qFormat/>
    <w:rsid w:val="000B6854"/>
    <w:pPr>
      <w:numPr>
        <w:ilvl w:val="4"/>
        <w:numId w:val="1"/>
      </w:numPr>
      <w:spacing w:before="240" w:after="60"/>
      <w:outlineLvl w:val="4"/>
    </w:pPr>
    <w:rPr>
      <w:rFonts w:ascii="Calibri" w:hAnsi="Calibri"/>
      <w:b/>
      <w:bCs/>
      <w:i/>
      <w:iCs/>
      <w:sz w:val="26"/>
      <w:szCs w:val="26"/>
    </w:rPr>
  </w:style>
  <w:style w:type="paragraph" w:styleId="Nadpis6">
    <w:name w:val="heading 6"/>
    <w:basedOn w:val="Normln"/>
    <w:next w:val="Normln"/>
    <w:link w:val="Nadpis6Char"/>
    <w:qFormat/>
    <w:rsid w:val="000B6854"/>
    <w:pPr>
      <w:numPr>
        <w:ilvl w:val="5"/>
        <w:numId w:val="1"/>
      </w:numPr>
      <w:spacing w:before="240" w:after="60"/>
      <w:outlineLvl w:val="5"/>
    </w:pPr>
    <w:rPr>
      <w:rFonts w:ascii="Calibri" w:hAnsi="Calibri"/>
      <w:b/>
      <w:bCs/>
      <w:sz w:val="22"/>
      <w:szCs w:val="22"/>
    </w:rPr>
  </w:style>
  <w:style w:type="paragraph" w:styleId="Nadpis7">
    <w:name w:val="heading 7"/>
    <w:basedOn w:val="Normln"/>
    <w:next w:val="Normln"/>
    <w:link w:val="Nadpis7Char"/>
    <w:qFormat/>
    <w:rsid w:val="000B6854"/>
    <w:pPr>
      <w:numPr>
        <w:ilvl w:val="6"/>
        <w:numId w:val="1"/>
      </w:numPr>
      <w:spacing w:before="240" w:after="60"/>
      <w:outlineLvl w:val="6"/>
    </w:pPr>
    <w:rPr>
      <w:rFonts w:ascii="Calibri" w:hAnsi="Calibri"/>
    </w:rPr>
  </w:style>
  <w:style w:type="paragraph" w:styleId="Nadpis8">
    <w:name w:val="heading 8"/>
    <w:basedOn w:val="Normln"/>
    <w:next w:val="Normln"/>
    <w:link w:val="Nadpis8Char"/>
    <w:qFormat/>
    <w:rsid w:val="000B6854"/>
    <w:pPr>
      <w:numPr>
        <w:ilvl w:val="7"/>
        <w:numId w:val="1"/>
      </w:numPr>
      <w:spacing w:before="240" w:after="60"/>
      <w:outlineLvl w:val="7"/>
    </w:pPr>
    <w:rPr>
      <w:rFonts w:ascii="Calibri" w:hAnsi="Calibri"/>
      <w:i/>
      <w:iCs/>
    </w:rPr>
  </w:style>
  <w:style w:type="paragraph" w:styleId="Nadpis9">
    <w:name w:val="heading 9"/>
    <w:basedOn w:val="Normln"/>
    <w:next w:val="Normln"/>
    <w:link w:val="Nadpis9Char"/>
    <w:qFormat/>
    <w:rsid w:val="000B6854"/>
    <w:pPr>
      <w:numPr>
        <w:ilvl w:val="8"/>
        <w:numId w:val="1"/>
      </w:numPr>
      <w:spacing w:before="240" w:after="60"/>
      <w:outlineLvl w:val="8"/>
    </w:pPr>
    <w:rPr>
      <w:rFonts w:ascii="Cambria" w:hAnsi="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
    <w:rsid w:val="000B6854"/>
    <w:rPr>
      <w:b/>
      <w:bCs/>
      <w:iCs/>
      <w:sz w:val="28"/>
      <w:szCs w:val="28"/>
      <w:lang w:eastAsia="cs-CZ"/>
    </w:rPr>
  </w:style>
  <w:style w:type="character" w:customStyle="1" w:styleId="Nadpis3Char">
    <w:name w:val="Nadpis 3 Char"/>
    <w:basedOn w:val="Standardnpsmoodstavce"/>
    <w:link w:val="Nadpis3"/>
    <w:rsid w:val="000B6854"/>
    <w:rPr>
      <w:rFonts w:ascii="Cambria" w:hAnsi="Cambria"/>
      <w:b/>
      <w:bCs/>
      <w:sz w:val="26"/>
      <w:szCs w:val="26"/>
      <w:lang w:eastAsia="cs-CZ"/>
    </w:rPr>
  </w:style>
  <w:style w:type="character" w:customStyle="1" w:styleId="Nadpis4Char">
    <w:name w:val="Nadpis 4 Char"/>
    <w:basedOn w:val="Standardnpsmoodstavce"/>
    <w:link w:val="Nadpis4"/>
    <w:uiPriority w:val="9"/>
    <w:rsid w:val="00201A21"/>
    <w:rPr>
      <w:rFonts w:ascii="Calibri" w:hAnsi="Calibri"/>
      <w:b/>
      <w:bCs/>
      <w:sz w:val="26"/>
      <w:szCs w:val="28"/>
    </w:rPr>
  </w:style>
  <w:style w:type="character" w:customStyle="1" w:styleId="Nadpis5Char">
    <w:name w:val="Nadpis 5 Char"/>
    <w:basedOn w:val="Standardnpsmoodstavce"/>
    <w:link w:val="Nadpis5"/>
    <w:uiPriority w:val="9"/>
    <w:rsid w:val="000B6854"/>
    <w:rPr>
      <w:rFonts w:ascii="Calibri" w:hAnsi="Calibri"/>
      <w:b/>
      <w:bCs/>
      <w:i/>
      <w:iCs/>
      <w:sz w:val="26"/>
      <w:szCs w:val="26"/>
      <w:lang w:eastAsia="cs-CZ"/>
    </w:rPr>
  </w:style>
  <w:style w:type="character" w:customStyle="1" w:styleId="Nadpis6Char">
    <w:name w:val="Nadpis 6 Char"/>
    <w:basedOn w:val="Standardnpsmoodstavce"/>
    <w:link w:val="Nadpis6"/>
    <w:rsid w:val="000B6854"/>
    <w:rPr>
      <w:rFonts w:ascii="Calibri" w:hAnsi="Calibri"/>
      <w:b/>
      <w:bCs/>
      <w:sz w:val="22"/>
      <w:szCs w:val="22"/>
      <w:lang w:eastAsia="cs-CZ"/>
    </w:rPr>
  </w:style>
  <w:style w:type="character" w:customStyle="1" w:styleId="Nadpis7Char">
    <w:name w:val="Nadpis 7 Char"/>
    <w:basedOn w:val="Standardnpsmoodstavce"/>
    <w:link w:val="Nadpis7"/>
    <w:rsid w:val="000B6854"/>
    <w:rPr>
      <w:rFonts w:ascii="Calibri" w:hAnsi="Calibri"/>
      <w:sz w:val="24"/>
      <w:szCs w:val="24"/>
      <w:lang w:eastAsia="cs-CZ"/>
    </w:rPr>
  </w:style>
  <w:style w:type="character" w:customStyle="1" w:styleId="Nadpis8Char">
    <w:name w:val="Nadpis 8 Char"/>
    <w:basedOn w:val="Standardnpsmoodstavce"/>
    <w:link w:val="Nadpis8"/>
    <w:rsid w:val="000B6854"/>
    <w:rPr>
      <w:rFonts w:ascii="Calibri" w:hAnsi="Calibri"/>
      <w:i/>
      <w:iCs/>
      <w:sz w:val="24"/>
      <w:szCs w:val="24"/>
      <w:lang w:eastAsia="cs-CZ"/>
    </w:rPr>
  </w:style>
  <w:style w:type="character" w:customStyle="1" w:styleId="Nadpis9Char">
    <w:name w:val="Nadpis 9 Char"/>
    <w:basedOn w:val="Standardnpsmoodstavce"/>
    <w:link w:val="Nadpis9"/>
    <w:rsid w:val="000B6854"/>
    <w:rPr>
      <w:rFonts w:ascii="Cambria" w:hAnsi="Cambria"/>
      <w:sz w:val="22"/>
      <w:szCs w:val="22"/>
      <w:lang w:eastAsia="cs-CZ"/>
    </w:rPr>
  </w:style>
  <w:style w:type="paragraph" w:styleId="Zhlav">
    <w:name w:val="header"/>
    <w:basedOn w:val="Normln"/>
    <w:rsid w:val="00394DD3"/>
    <w:pPr>
      <w:tabs>
        <w:tab w:val="center" w:pos="4536"/>
        <w:tab w:val="right" w:pos="9072"/>
      </w:tabs>
    </w:pPr>
  </w:style>
  <w:style w:type="paragraph" w:styleId="Zpat">
    <w:name w:val="footer"/>
    <w:basedOn w:val="Normln"/>
    <w:link w:val="ZpatChar"/>
    <w:uiPriority w:val="99"/>
    <w:rsid w:val="00394DD3"/>
    <w:pPr>
      <w:tabs>
        <w:tab w:val="center" w:pos="4536"/>
        <w:tab w:val="right" w:pos="9072"/>
      </w:tabs>
    </w:pPr>
  </w:style>
  <w:style w:type="character" w:customStyle="1" w:styleId="ZpatChar">
    <w:name w:val="Zápatí Char"/>
    <w:basedOn w:val="Standardnpsmoodstavce"/>
    <w:link w:val="Zpat"/>
    <w:uiPriority w:val="99"/>
    <w:rsid w:val="002C4E65"/>
    <w:rPr>
      <w:sz w:val="24"/>
      <w:szCs w:val="24"/>
    </w:rPr>
  </w:style>
  <w:style w:type="character" w:styleId="slostrnky">
    <w:name w:val="page number"/>
    <w:basedOn w:val="Standardnpsmoodstavce"/>
    <w:rsid w:val="00394DD3"/>
  </w:style>
  <w:style w:type="paragraph" w:styleId="Rozvrendokumentu">
    <w:name w:val="Document Map"/>
    <w:basedOn w:val="Normln"/>
    <w:link w:val="RozvrendokumentuChar"/>
    <w:uiPriority w:val="99"/>
    <w:rsid w:val="0090229B"/>
    <w:rPr>
      <w:rFonts w:ascii="Tahoma" w:hAnsi="Tahoma" w:cs="Tahoma"/>
      <w:sz w:val="16"/>
      <w:szCs w:val="16"/>
    </w:rPr>
  </w:style>
  <w:style w:type="character" w:customStyle="1" w:styleId="RozvrendokumentuChar">
    <w:name w:val="Rozvržení dokumentu Char"/>
    <w:basedOn w:val="Standardnpsmoodstavce"/>
    <w:link w:val="Rozvrendokumentu"/>
    <w:uiPriority w:val="99"/>
    <w:rsid w:val="0090229B"/>
    <w:rPr>
      <w:rFonts w:ascii="Tahoma" w:hAnsi="Tahoma" w:cs="Tahoma"/>
      <w:sz w:val="16"/>
      <w:szCs w:val="16"/>
    </w:rPr>
  </w:style>
  <w:style w:type="paragraph" w:customStyle="1" w:styleId="Rovnice">
    <w:name w:val="Rovnice"/>
    <w:basedOn w:val="Zkladntext2"/>
    <w:next w:val="Zkladntext2"/>
    <w:rsid w:val="000B6854"/>
    <w:pPr>
      <w:numPr>
        <w:numId w:val="2"/>
      </w:numPr>
      <w:tabs>
        <w:tab w:val="center" w:pos="4500"/>
      </w:tabs>
      <w:spacing w:before="120" w:line="360" w:lineRule="auto"/>
    </w:pPr>
  </w:style>
  <w:style w:type="paragraph" w:styleId="Zkladntext2">
    <w:name w:val="Body Text 2"/>
    <w:basedOn w:val="Normln"/>
    <w:link w:val="Zkladntext2Char"/>
    <w:uiPriority w:val="99"/>
    <w:rsid w:val="000B6854"/>
    <w:pPr>
      <w:spacing w:line="480" w:lineRule="auto"/>
    </w:pPr>
  </w:style>
  <w:style w:type="character" w:customStyle="1" w:styleId="Zkladntext2Char">
    <w:name w:val="Základní text 2 Char"/>
    <w:basedOn w:val="Standardnpsmoodstavce"/>
    <w:link w:val="Zkladntext2"/>
    <w:uiPriority w:val="99"/>
    <w:rsid w:val="000B6854"/>
    <w:rPr>
      <w:sz w:val="24"/>
      <w:szCs w:val="24"/>
    </w:rPr>
  </w:style>
  <w:style w:type="paragraph" w:styleId="Titulek">
    <w:name w:val="caption"/>
    <w:basedOn w:val="Normln"/>
    <w:next w:val="Normln"/>
    <w:qFormat/>
    <w:rsid w:val="000B6854"/>
    <w:rPr>
      <w:b/>
      <w:bCs/>
      <w:sz w:val="20"/>
      <w:szCs w:val="20"/>
    </w:rPr>
  </w:style>
  <w:style w:type="paragraph" w:styleId="Zkladntextodsazen">
    <w:name w:val="Body Text Indent"/>
    <w:basedOn w:val="Normln"/>
    <w:link w:val="ZkladntextodsazenChar"/>
    <w:uiPriority w:val="99"/>
    <w:rsid w:val="000B6854"/>
    <w:pPr>
      <w:ind w:firstLine="360"/>
    </w:pPr>
  </w:style>
  <w:style w:type="character" w:customStyle="1" w:styleId="ZkladntextodsazenChar">
    <w:name w:val="Základní text odsazený Char"/>
    <w:basedOn w:val="Standardnpsmoodstavce"/>
    <w:link w:val="Zkladntextodsazen"/>
    <w:uiPriority w:val="99"/>
    <w:rsid w:val="000B6854"/>
    <w:rPr>
      <w:sz w:val="24"/>
      <w:szCs w:val="24"/>
    </w:rPr>
  </w:style>
  <w:style w:type="paragraph" w:styleId="Textbubliny">
    <w:name w:val="Balloon Text"/>
    <w:basedOn w:val="Normln"/>
    <w:link w:val="TextbublinyChar"/>
    <w:uiPriority w:val="99"/>
    <w:rsid w:val="002C4E65"/>
    <w:rPr>
      <w:rFonts w:ascii="Tahoma" w:hAnsi="Tahoma" w:cs="Tahoma"/>
      <w:sz w:val="16"/>
      <w:szCs w:val="16"/>
    </w:rPr>
  </w:style>
  <w:style w:type="character" w:customStyle="1" w:styleId="TextbublinyChar">
    <w:name w:val="Text bubliny Char"/>
    <w:basedOn w:val="Standardnpsmoodstavce"/>
    <w:link w:val="Textbubliny"/>
    <w:uiPriority w:val="99"/>
    <w:rsid w:val="002C4E65"/>
    <w:rPr>
      <w:rFonts w:ascii="Tahoma" w:hAnsi="Tahoma" w:cs="Tahoma"/>
      <w:sz w:val="16"/>
      <w:szCs w:val="16"/>
    </w:rPr>
  </w:style>
  <w:style w:type="character" w:styleId="Siln">
    <w:name w:val="Strong"/>
    <w:basedOn w:val="Standardnpsmoodstavce"/>
    <w:uiPriority w:val="22"/>
    <w:qFormat/>
    <w:rsid w:val="00844C08"/>
    <w:rPr>
      <w:b/>
      <w:bCs/>
    </w:rPr>
  </w:style>
  <w:style w:type="character" w:styleId="Hypertextovodkaz">
    <w:name w:val="Hyperlink"/>
    <w:basedOn w:val="Standardnpsmoodstavce"/>
    <w:uiPriority w:val="99"/>
    <w:rsid w:val="00844C08"/>
    <w:rPr>
      <w:color w:val="0000FF"/>
      <w:u w:val="single"/>
    </w:rPr>
  </w:style>
  <w:style w:type="character" w:styleId="Odkaznakoment">
    <w:name w:val="annotation reference"/>
    <w:basedOn w:val="Standardnpsmoodstavce"/>
    <w:rsid w:val="00844C08"/>
    <w:rPr>
      <w:sz w:val="16"/>
      <w:szCs w:val="16"/>
    </w:rPr>
  </w:style>
  <w:style w:type="paragraph" w:styleId="Textkomente">
    <w:name w:val="annotation text"/>
    <w:basedOn w:val="Normln"/>
    <w:link w:val="TextkomenteChar"/>
    <w:rsid w:val="00844C08"/>
    <w:pPr>
      <w:ind w:firstLine="0"/>
      <w:jc w:val="left"/>
    </w:pPr>
    <w:rPr>
      <w:sz w:val="20"/>
      <w:szCs w:val="20"/>
    </w:rPr>
  </w:style>
  <w:style w:type="character" w:customStyle="1" w:styleId="TextkomenteChar">
    <w:name w:val="Text komentáře Char"/>
    <w:basedOn w:val="Standardnpsmoodstavce"/>
    <w:link w:val="Textkomente"/>
    <w:rsid w:val="00844C08"/>
  </w:style>
  <w:style w:type="paragraph" w:styleId="Pedmtkomente">
    <w:name w:val="annotation subject"/>
    <w:basedOn w:val="Textkomente"/>
    <w:next w:val="Textkomente"/>
    <w:link w:val="PedmtkomenteChar"/>
    <w:rsid w:val="00844C08"/>
    <w:rPr>
      <w:b/>
      <w:bCs/>
    </w:rPr>
  </w:style>
  <w:style w:type="character" w:customStyle="1" w:styleId="PedmtkomenteChar">
    <w:name w:val="Předmět komentáře Char"/>
    <w:basedOn w:val="TextkomenteChar"/>
    <w:link w:val="Pedmtkomente"/>
    <w:rsid w:val="00844C08"/>
    <w:rPr>
      <w:b/>
      <w:bCs/>
    </w:rPr>
  </w:style>
  <w:style w:type="paragraph" w:styleId="Textpoznpodarou">
    <w:name w:val="footnote text"/>
    <w:basedOn w:val="Normln"/>
    <w:link w:val="TextpoznpodarouChar"/>
    <w:uiPriority w:val="99"/>
    <w:rsid w:val="00844C08"/>
    <w:pPr>
      <w:ind w:firstLine="0"/>
      <w:jc w:val="left"/>
    </w:pPr>
    <w:rPr>
      <w:sz w:val="20"/>
      <w:szCs w:val="20"/>
    </w:rPr>
  </w:style>
  <w:style w:type="character" w:customStyle="1" w:styleId="TextpoznpodarouChar">
    <w:name w:val="Text pozn. pod čarou Char"/>
    <w:basedOn w:val="Standardnpsmoodstavce"/>
    <w:link w:val="Textpoznpodarou"/>
    <w:uiPriority w:val="99"/>
    <w:rsid w:val="00844C08"/>
  </w:style>
  <w:style w:type="character" w:styleId="Znakapoznpodarou">
    <w:name w:val="footnote reference"/>
    <w:basedOn w:val="Standardnpsmoodstavce"/>
    <w:uiPriority w:val="99"/>
    <w:rsid w:val="00844C08"/>
    <w:rPr>
      <w:vertAlign w:val="superscript"/>
    </w:rPr>
  </w:style>
  <w:style w:type="paragraph" w:styleId="Zkladntext">
    <w:name w:val="Body Text"/>
    <w:basedOn w:val="Normln"/>
    <w:link w:val="ZkladntextChar1"/>
    <w:uiPriority w:val="99"/>
    <w:rsid w:val="00F80FA4"/>
  </w:style>
  <w:style w:type="paragraph" w:customStyle="1" w:styleId="DefaultText1">
    <w:name w:val="Default Text:1"/>
    <w:basedOn w:val="Normln"/>
    <w:rsid w:val="00F80FA4"/>
    <w:pPr>
      <w:autoSpaceDE w:val="0"/>
      <w:autoSpaceDN w:val="0"/>
      <w:adjustRightInd w:val="0"/>
      <w:ind w:firstLine="0"/>
      <w:jc w:val="left"/>
    </w:pPr>
    <w:rPr>
      <w:lang w:val="en-US"/>
    </w:rPr>
  </w:style>
  <w:style w:type="paragraph" w:customStyle="1" w:styleId="DefaultText">
    <w:name w:val="Default Text"/>
    <w:basedOn w:val="Normln"/>
    <w:rsid w:val="00F80FA4"/>
    <w:pPr>
      <w:overflowPunct w:val="0"/>
      <w:autoSpaceDE w:val="0"/>
      <w:autoSpaceDN w:val="0"/>
      <w:adjustRightInd w:val="0"/>
      <w:ind w:firstLine="0"/>
      <w:jc w:val="left"/>
      <w:textAlignment w:val="baseline"/>
    </w:pPr>
    <w:rPr>
      <w:szCs w:val="20"/>
    </w:rPr>
  </w:style>
  <w:style w:type="paragraph" w:styleId="Nzev">
    <w:name w:val="Title"/>
    <w:basedOn w:val="Normln"/>
    <w:qFormat/>
    <w:rsid w:val="00F80FA4"/>
    <w:pPr>
      <w:ind w:firstLine="0"/>
      <w:jc w:val="center"/>
    </w:pPr>
    <w:rPr>
      <w:rFonts w:ascii="Book Antiqua" w:hAnsi="Book Antiqua"/>
      <w:b/>
      <w:bCs/>
      <w:sz w:val="28"/>
    </w:rPr>
  </w:style>
  <w:style w:type="table" w:styleId="Mkatabulky">
    <w:name w:val="Table Grid"/>
    <w:basedOn w:val="Normlntabulka"/>
    <w:uiPriority w:val="59"/>
    <w:rsid w:val="00F80F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sah1">
    <w:name w:val="toc 1"/>
    <w:aliases w:val="Obsah VV"/>
    <w:basedOn w:val="Normln"/>
    <w:next w:val="Normln"/>
    <w:autoRedefine/>
    <w:uiPriority w:val="39"/>
    <w:rsid w:val="00346AB8"/>
    <w:pPr>
      <w:tabs>
        <w:tab w:val="left" w:pos="960"/>
        <w:tab w:val="right" w:leader="dot" w:pos="9062"/>
      </w:tabs>
      <w:spacing w:before="120"/>
      <w:ind w:left="709" w:hanging="709"/>
      <w:jc w:val="left"/>
    </w:pPr>
    <w:rPr>
      <w:b/>
      <w:bCs/>
      <w:i/>
      <w:iCs/>
    </w:rPr>
  </w:style>
  <w:style w:type="paragraph" w:styleId="Obsah2">
    <w:name w:val="toc 2"/>
    <w:basedOn w:val="Normln"/>
    <w:next w:val="Normln"/>
    <w:autoRedefine/>
    <w:uiPriority w:val="39"/>
    <w:rsid w:val="00E751B3"/>
    <w:pPr>
      <w:tabs>
        <w:tab w:val="left" w:pos="1200"/>
        <w:tab w:val="right" w:leader="dot" w:pos="9062"/>
      </w:tabs>
      <w:spacing w:before="120"/>
      <w:ind w:left="709" w:firstLine="0"/>
      <w:jc w:val="left"/>
    </w:pPr>
    <w:rPr>
      <w:b/>
      <w:bCs/>
      <w:sz w:val="22"/>
      <w:szCs w:val="22"/>
    </w:rPr>
  </w:style>
  <w:style w:type="paragraph" w:styleId="Obsah3">
    <w:name w:val="toc 3"/>
    <w:basedOn w:val="Normln"/>
    <w:next w:val="Normln"/>
    <w:autoRedefine/>
    <w:uiPriority w:val="39"/>
    <w:rsid w:val="00625FD7"/>
    <w:pPr>
      <w:ind w:left="480"/>
      <w:jc w:val="left"/>
    </w:pPr>
    <w:rPr>
      <w:sz w:val="20"/>
      <w:szCs w:val="20"/>
    </w:rPr>
  </w:style>
  <w:style w:type="paragraph" w:styleId="Obsah4">
    <w:name w:val="toc 4"/>
    <w:basedOn w:val="Normln"/>
    <w:next w:val="Normln"/>
    <w:autoRedefine/>
    <w:uiPriority w:val="39"/>
    <w:rsid w:val="00625FD7"/>
    <w:pPr>
      <w:ind w:left="720"/>
      <w:jc w:val="left"/>
    </w:pPr>
    <w:rPr>
      <w:sz w:val="20"/>
      <w:szCs w:val="20"/>
    </w:rPr>
  </w:style>
  <w:style w:type="paragraph" w:styleId="Obsah5">
    <w:name w:val="toc 5"/>
    <w:basedOn w:val="Normln"/>
    <w:next w:val="Normln"/>
    <w:autoRedefine/>
    <w:uiPriority w:val="39"/>
    <w:rsid w:val="00625FD7"/>
    <w:pPr>
      <w:ind w:left="960"/>
      <w:jc w:val="left"/>
    </w:pPr>
    <w:rPr>
      <w:sz w:val="20"/>
      <w:szCs w:val="20"/>
    </w:rPr>
  </w:style>
  <w:style w:type="paragraph" w:styleId="Obsah6">
    <w:name w:val="toc 6"/>
    <w:basedOn w:val="Normln"/>
    <w:next w:val="Normln"/>
    <w:autoRedefine/>
    <w:uiPriority w:val="39"/>
    <w:rsid w:val="00625FD7"/>
    <w:pPr>
      <w:ind w:left="1200"/>
      <w:jc w:val="left"/>
    </w:pPr>
    <w:rPr>
      <w:sz w:val="20"/>
      <w:szCs w:val="20"/>
    </w:rPr>
  </w:style>
  <w:style w:type="paragraph" w:styleId="Obsah7">
    <w:name w:val="toc 7"/>
    <w:basedOn w:val="Normln"/>
    <w:next w:val="Normln"/>
    <w:autoRedefine/>
    <w:uiPriority w:val="39"/>
    <w:rsid w:val="00625FD7"/>
    <w:pPr>
      <w:ind w:left="1440"/>
      <w:jc w:val="left"/>
    </w:pPr>
    <w:rPr>
      <w:sz w:val="20"/>
      <w:szCs w:val="20"/>
    </w:rPr>
  </w:style>
  <w:style w:type="paragraph" w:styleId="Obsah8">
    <w:name w:val="toc 8"/>
    <w:basedOn w:val="Normln"/>
    <w:next w:val="Normln"/>
    <w:autoRedefine/>
    <w:uiPriority w:val="39"/>
    <w:rsid w:val="00625FD7"/>
    <w:pPr>
      <w:ind w:left="1680"/>
      <w:jc w:val="left"/>
    </w:pPr>
    <w:rPr>
      <w:sz w:val="20"/>
      <w:szCs w:val="20"/>
    </w:rPr>
  </w:style>
  <w:style w:type="paragraph" w:styleId="Obsah9">
    <w:name w:val="toc 9"/>
    <w:basedOn w:val="Normln"/>
    <w:next w:val="Normln"/>
    <w:autoRedefine/>
    <w:uiPriority w:val="39"/>
    <w:rsid w:val="00625FD7"/>
    <w:pPr>
      <w:ind w:left="1920"/>
      <w:jc w:val="left"/>
    </w:pPr>
    <w:rPr>
      <w:sz w:val="20"/>
      <w:szCs w:val="20"/>
    </w:rPr>
  </w:style>
  <w:style w:type="table" w:styleId="Elegantntabulka">
    <w:name w:val="Table Elegant"/>
    <w:basedOn w:val="Normlntabulka"/>
    <w:rsid w:val="00440D44"/>
    <w:pPr>
      <w:ind w:firstLine="432"/>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Odstavecseseznamem">
    <w:name w:val="List Paragraph"/>
    <w:basedOn w:val="Normln"/>
    <w:uiPriority w:val="34"/>
    <w:qFormat/>
    <w:rsid w:val="00277F74"/>
    <w:pPr>
      <w:spacing w:after="0" w:line="276" w:lineRule="auto"/>
      <w:ind w:left="720" w:firstLine="709"/>
      <w:contextualSpacing/>
      <w:jc w:val="left"/>
    </w:pPr>
    <w:rPr>
      <w:rFonts w:ascii="Palatino Linotype" w:hAnsi="Palatino Linotype"/>
      <w:sz w:val="20"/>
    </w:rPr>
  </w:style>
  <w:style w:type="paragraph" w:styleId="Normlnweb">
    <w:name w:val="Normal (Web)"/>
    <w:basedOn w:val="Normln"/>
    <w:uiPriority w:val="99"/>
    <w:unhideWhenUsed/>
    <w:rsid w:val="00E1022F"/>
    <w:pPr>
      <w:spacing w:before="100" w:beforeAutospacing="1" w:after="100" w:afterAutospacing="1"/>
      <w:ind w:firstLine="0"/>
      <w:jc w:val="left"/>
    </w:pPr>
  </w:style>
  <w:style w:type="character" w:customStyle="1" w:styleId="Nadpis1Char">
    <w:name w:val="Nadpis 1 Char"/>
    <w:basedOn w:val="Standardnpsmoodstavce"/>
    <w:link w:val="Nadpis1"/>
    <w:uiPriority w:val="9"/>
    <w:rsid w:val="008C6402"/>
    <w:rPr>
      <w:rFonts w:cs="Arial"/>
      <w:b/>
      <w:bCs/>
      <w:kern w:val="32"/>
      <w:sz w:val="32"/>
      <w:szCs w:val="32"/>
    </w:rPr>
  </w:style>
  <w:style w:type="paragraph" w:styleId="Nadpisobsahu">
    <w:name w:val="TOC Heading"/>
    <w:basedOn w:val="Nadpis1"/>
    <w:next w:val="Normln"/>
    <w:uiPriority w:val="39"/>
    <w:semiHidden/>
    <w:unhideWhenUsed/>
    <w:qFormat/>
    <w:rsid w:val="008C6402"/>
    <w:pPr>
      <w:keepLines/>
      <w:pageBreakBefore w:val="0"/>
      <w:numPr>
        <w:numId w:val="0"/>
      </w:numPr>
      <w:tabs>
        <w:tab w:val="clear" w:pos="426"/>
      </w:tabs>
      <w:spacing w:before="0" w:after="120" w:line="276" w:lineRule="auto"/>
      <w:outlineLvl w:val="9"/>
    </w:pPr>
    <w:rPr>
      <w:rFonts w:asciiTheme="majorHAnsi" w:eastAsiaTheme="majorEastAsia" w:hAnsiTheme="majorHAnsi" w:cstheme="majorBidi"/>
      <w:color w:val="365F91" w:themeColor="accent1" w:themeShade="BF"/>
      <w:kern w:val="0"/>
      <w:sz w:val="24"/>
      <w:szCs w:val="28"/>
    </w:rPr>
  </w:style>
  <w:style w:type="paragraph" w:customStyle="1" w:styleId="StylNadpis2Tun">
    <w:name w:val="Styl Nadpis 2 + Tučné"/>
    <w:basedOn w:val="Nadpis2"/>
    <w:autoRedefine/>
    <w:uiPriority w:val="99"/>
    <w:rsid w:val="008C6402"/>
    <w:pPr>
      <w:numPr>
        <w:ilvl w:val="0"/>
        <w:numId w:val="0"/>
      </w:numPr>
      <w:spacing w:before="0" w:after="120" w:line="276" w:lineRule="auto"/>
    </w:pPr>
    <w:rPr>
      <w:rFonts w:ascii="Palatino Linotype" w:hAnsi="Palatino Linotype"/>
      <w:b w:val="0"/>
      <w:iCs w:val="0"/>
      <w:sz w:val="24"/>
      <w:szCs w:val="20"/>
      <w:lang w:val="en-US"/>
    </w:rPr>
  </w:style>
  <w:style w:type="paragraph" w:customStyle="1" w:styleId="SI-kapitola">
    <w:name w:val="SI-kapitola"/>
    <w:basedOn w:val="Normln"/>
    <w:link w:val="SI-kapitolaChar"/>
    <w:qFormat/>
    <w:rsid w:val="008C6402"/>
    <w:pPr>
      <w:numPr>
        <w:numId w:val="20"/>
      </w:numPr>
      <w:spacing w:line="276" w:lineRule="auto"/>
    </w:pPr>
    <w:rPr>
      <w:rFonts w:ascii="Palatino Linotype" w:hAnsi="Palatino Linotype" w:cs="Courier New"/>
      <w:b/>
      <w:sz w:val="32"/>
      <w:szCs w:val="32"/>
    </w:rPr>
  </w:style>
  <w:style w:type="paragraph" w:customStyle="1" w:styleId="SI-podkapitola">
    <w:name w:val="SI-podkapitola"/>
    <w:basedOn w:val="SI-kapitola"/>
    <w:link w:val="SI-podkapitolaChar"/>
    <w:qFormat/>
    <w:rsid w:val="008C6402"/>
    <w:pPr>
      <w:numPr>
        <w:ilvl w:val="1"/>
      </w:numPr>
    </w:pPr>
    <w:rPr>
      <w:sz w:val="28"/>
    </w:rPr>
  </w:style>
  <w:style w:type="paragraph" w:styleId="Prosttext">
    <w:name w:val="Plain Text"/>
    <w:basedOn w:val="Normln"/>
    <w:link w:val="ProsttextChar"/>
    <w:uiPriority w:val="99"/>
    <w:unhideWhenUsed/>
    <w:qFormat/>
    <w:rsid w:val="008C6402"/>
    <w:pPr>
      <w:ind w:firstLine="709"/>
    </w:pPr>
    <w:rPr>
      <w:rFonts w:ascii="Palatino Linotype" w:hAnsi="Palatino Linotype"/>
      <w:sz w:val="20"/>
      <w:szCs w:val="21"/>
    </w:rPr>
  </w:style>
  <w:style w:type="character" w:customStyle="1" w:styleId="ProsttextChar">
    <w:name w:val="Prostý text Char"/>
    <w:basedOn w:val="Standardnpsmoodstavce"/>
    <w:link w:val="Prosttext"/>
    <w:uiPriority w:val="99"/>
    <w:rsid w:val="008C6402"/>
    <w:rPr>
      <w:rFonts w:ascii="Palatino Linotype" w:hAnsi="Palatino Linotype"/>
      <w:szCs w:val="21"/>
    </w:rPr>
  </w:style>
  <w:style w:type="paragraph" w:customStyle="1" w:styleId="SI-podpodkapitola">
    <w:name w:val="SI-podpodkapitola"/>
    <w:basedOn w:val="SI-kapitola"/>
    <w:link w:val="SI-podpodkapitolaChar"/>
    <w:qFormat/>
    <w:rsid w:val="008C6402"/>
    <w:pPr>
      <w:numPr>
        <w:ilvl w:val="2"/>
      </w:numPr>
    </w:pPr>
    <w:rPr>
      <w:sz w:val="22"/>
    </w:rPr>
  </w:style>
  <w:style w:type="paragraph" w:customStyle="1" w:styleId="SI-podpodpodkapitola">
    <w:name w:val="SI-podpodpodkapitola"/>
    <w:basedOn w:val="SI-podpodkapitola"/>
    <w:link w:val="SI-podpodpodkapitolaChar"/>
    <w:qFormat/>
    <w:rsid w:val="008C6402"/>
    <w:pPr>
      <w:numPr>
        <w:ilvl w:val="3"/>
      </w:numPr>
    </w:pPr>
  </w:style>
  <w:style w:type="character" w:customStyle="1" w:styleId="SI-kapitolaChar">
    <w:name w:val="SI-kapitola Char"/>
    <w:basedOn w:val="Standardnpsmoodstavce"/>
    <w:link w:val="SI-kapitola"/>
    <w:rsid w:val="008C6402"/>
    <w:rPr>
      <w:rFonts w:ascii="Palatino Linotype" w:hAnsi="Palatino Linotype" w:cs="Courier New"/>
      <w:b/>
      <w:sz w:val="32"/>
      <w:szCs w:val="32"/>
    </w:rPr>
  </w:style>
  <w:style w:type="character" w:customStyle="1" w:styleId="SI-podpodkapitolaChar">
    <w:name w:val="SI-podpodkapitola Char"/>
    <w:basedOn w:val="ProsttextChar"/>
    <w:link w:val="SI-podpodkapitola"/>
    <w:rsid w:val="008C6402"/>
    <w:rPr>
      <w:rFonts w:cs="Courier New"/>
      <w:b/>
      <w:sz w:val="22"/>
      <w:szCs w:val="32"/>
    </w:rPr>
  </w:style>
  <w:style w:type="character" w:customStyle="1" w:styleId="SI-podkapitolaChar">
    <w:name w:val="SI-podkapitola Char"/>
    <w:basedOn w:val="ProsttextChar"/>
    <w:link w:val="SI-podkapitola"/>
    <w:rsid w:val="008C6402"/>
    <w:rPr>
      <w:rFonts w:cs="Courier New"/>
      <w:b/>
      <w:sz w:val="28"/>
      <w:szCs w:val="32"/>
    </w:rPr>
  </w:style>
  <w:style w:type="character" w:customStyle="1" w:styleId="SI-podpodpodkapitolaChar">
    <w:name w:val="SI-podpodpodkapitola Char"/>
    <w:basedOn w:val="SI-podpodkapitolaChar"/>
    <w:link w:val="SI-podpodpodkapitola"/>
    <w:rsid w:val="008C6402"/>
  </w:style>
  <w:style w:type="character" w:customStyle="1" w:styleId="SI-psmena">
    <w:name w:val="SI-písmena"/>
    <w:basedOn w:val="Standardnpsmoodstavce"/>
    <w:uiPriority w:val="1"/>
    <w:qFormat/>
    <w:rsid w:val="008C6402"/>
    <w:rPr>
      <w:rFonts w:ascii="Arial" w:hAnsi="Arial" w:cs="Arial"/>
      <w:b/>
      <w:i/>
      <w:sz w:val="20"/>
      <w:szCs w:val="20"/>
    </w:rPr>
  </w:style>
  <w:style w:type="paragraph" w:styleId="Seznamsodrkami">
    <w:name w:val="List Bullet"/>
    <w:basedOn w:val="Odstavecseseznamem"/>
    <w:uiPriority w:val="99"/>
    <w:unhideWhenUsed/>
    <w:rsid w:val="008C6402"/>
    <w:pPr>
      <w:numPr>
        <w:numId w:val="22"/>
      </w:numPr>
    </w:pPr>
    <w:rPr>
      <w:rFonts w:cs="Courier New"/>
    </w:rPr>
  </w:style>
  <w:style w:type="character" w:styleId="Sledovanodkaz">
    <w:name w:val="FollowedHyperlink"/>
    <w:basedOn w:val="Standardnpsmoodstavce"/>
    <w:uiPriority w:val="99"/>
    <w:unhideWhenUsed/>
    <w:rsid w:val="008C6402"/>
    <w:rPr>
      <w:color w:val="800080" w:themeColor="followedHyperlink"/>
      <w:u w:val="single"/>
    </w:rPr>
  </w:style>
  <w:style w:type="character" w:styleId="Zstupntext">
    <w:name w:val="Placeholder Text"/>
    <w:basedOn w:val="Standardnpsmoodstavce"/>
    <w:uiPriority w:val="99"/>
    <w:semiHidden/>
    <w:rsid w:val="008C6402"/>
    <w:rPr>
      <w:color w:val="808080"/>
    </w:rPr>
  </w:style>
  <w:style w:type="paragraph" w:customStyle="1" w:styleId="vlkapitola">
    <w:name w:val="vlč_kapitola"/>
    <w:basedOn w:val="Prosttext"/>
    <w:rsid w:val="008C6402"/>
    <w:pPr>
      <w:ind w:firstLine="0"/>
    </w:pPr>
    <w:rPr>
      <w:rFonts w:ascii="Courier New" w:hAnsi="Courier New" w:cs="Courier New"/>
      <w:b/>
      <w:sz w:val="32"/>
      <w:szCs w:val="32"/>
    </w:rPr>
  </w:style>
  <w:style w:type="numbering" w:customStyle="1" w:styleId="vlik">
    <w:name w:val="vlčičák"/>
    <w:uiPriority w:val="99"/>
    <w:rsid w:val="008C6402"/>
    <w:pPr>
      <w:numPr>
        <w:numId w:val="23"/>
      </w:numPr>
    </w:pPr>
  </w:style>
  <w:style w:type="character" w:customStyle="1" w:styleId="ZkladntextChar">
    <w:name w:val="Základní text Char"/>
    <w:basedOn w:val="Standardnpsmoodstavce"/>
    <w:uiPriority w:val="99"/>
    <w:semiHidden/>
    <w:rsid w:val="008C6402"/>
    <w:rPr>
      <w:rFonts w:ascii="Palatino Linotype" w:hAnsi="Palatino Linotype" w:cs="Times New Roman"/>
      <w:sz w:val="20"/>
      <w:lang w:eastAsia="cs-CZ"/>
    </w:rPr>
  </w:style>
  <w:style w:type="paragraph" w:styleId="Zkladntext-prvnodsazen">
    <w:name w:val="Body Text First Indent"/>
    <w:basedOn w:val="Zkladntext"/>
    <w:link w:val="Zkladntext-prvnodsazenChar"/>
    <w:uiPriority w:val="99"/>
    <w:unhideWhenUsed/>
    <w:rsid w:val="008C6402"/>
    <w:pPr>
      <w:spacing w:line="276" w:lineRule="auto"/>
      <w:ind w:firstLine="360"/>
    </w:pPr>
    <w:rPr>
      <w:rFonts w:ascii="Palatino Linotype" w:hAnsi="Palatino Linotype"/>
      <w:sz w:val="20"/>
      <w:szCs w:val="22"/>
    </w:rPr>
  </w:style>
  <w:style w:type="character" w:customStyle="1" w:styleId="ZkladntextChar1">
    <w:name w:val="Základní text Char1"/>
    <w:basedOn w:val="Standardnpsmoodstavce"/>
    <w:link w:val="Zkladntext"/>
    <w:uiPriority w:val="99"/>
    <w:rsid w:val="008C6402"/>
    <w:rPr>
      <w:sz w:val="24"/>
      <w:szCs w:val="24"/>
    </w:rPr>
  </w:style>
  <w:style w:type="character" w:customStyle="1" w:styleId="Zkladntext-prvnodsazenChar">
    <w:name w:val="Základní text - první odsazený Char"/>
    <w:basedOn w:val="ZkladntextChar1"/>
    <w:link w:val="Zkladntext-prvnodsazen"/>
    <w:uiPriority w:val="99"/>
    <w:rsid w:val="008C6402"/>
    <w:rPr>
      <w:rFonts w:ascii="Palatino Linotype" w:hAnsi="Palatino Linotype"/>
      <w:szCs w:val="22"/>
    </w:rPr>
  </w:style>
  <w:style w:type="paragraph" w:styleId="Zkladntextodsazen3">
    <w:name w:val="Body Text Indent 3"/>
    <w:basedOn w:val="Normln"/>
    <w:link w:val="Zkladntextodsazen3Char"/>
    <w:uiPriority w:val="99"/>
    <w:unhideWhenUsed/>
    <w:rsid w:val="008C6402"/>
    <w:pPr>
      <w:spacing w:line="276" w:lineRule="auto"/>
      <w:ind w:left="283" w:firstLine="709"/>
    </w:pPr>
    <w:rPr>
      <w:rFonts w:ascii="Palatino Linotype" w:hAnsi="Palatino Linotype"/>
      <w:sz w:val="20"/>
      <w:szCs w:val="16"/>
    </w:rPr>
  </w:style>
  <w:style w:type="character" w:customStyle="1" w:styleId="Zkladntextodsazen3Char">
    <w:name w:val="Základní text odsazený 3 Char"/>
    <w:basedOn w:val="Standardnpsmoodstavce"/>
    <w:link w:val="Zkladntextodsazen3"/>
    <w:uiPriority w:val="99"/>
    <w:rsid w:val="008C6402"/>
    <w:rPr>
      <w:rFonts w:ascii="Palatino Linotype" w:hAnsi="Palatino Linotype"/>
      <w:szCs w:val="16"/>
    </w:rPr>
  </w:style>
  <w:style w:type="paragraph" w:customStyle="1" w:styleId="Default">
    <w:name w:val="Default"/>
    <w:rsid w:val="00201A21"/>
    <w:pPr>
      <w:autoSpaceDE w:val="0"/>
      <w:autoSpaceDN w:val="0"/>
      <w:adjustRightInd w:val="0"/>
    </w:pPr>
    <w:rPr>
      <w:rFonts w:ascii="Arial" w:eastAsiaTheme="minorHAnsi" w:hAnsi="Arial" w:cs="Arial"/>
      <w:color w:val="000000"/>
      <w:sz w:val="24"/>
      <w:szCs w:val="24"/>
      <w:lang w:eastAsia="en-US"/>
    </w:rPr>
  </w:style>
  <w:style w:type="paragraph" w:customStyle="1" w:styleId="PHOdrazka">
    <w:name w:val="PHOdrazka"/>
    <w:basedOn w:val="Odstavecseseznamem"/>
    <w:qFormat/>
    <w:rsid w:val="003369B9"/>
    <w:pPr>
      <w:numPr>
        <w:numId w:val="34"/>
      </w:numPr>
    </w:pPr>
    <w:rPr>
      <w:sz w:val="28"/>
    </w:rPr>
  </w:style>
</w:styles>
</file>

<file path=word/webSettings.xml><?xml version="1.0" encoding="utf-8"?>
<w:webSettings xmlns:r="http://schemas.openxmlformats.org/officeDocument/2006/relationships" xmlns:w="http://schemas.openxmlformats.org/wordprocessingml/2006/main">
  <w:divs>
    <w:div w:id="189540196">
      <w:bodyDiv w:val="1"/>
      <w:marLeft w:val="0"/>
      <w:marRight w:val="0"/>
      <w:marTop w:val="0"/>
      <w:marBottom w:val="0"/>
      <w:divBdr>
        <w:top w:val="none" w:sz="0" w:space="0" w:color="auto"/>
        <w:left w:val="none" w:sz="0" w:space="0" w:color="auto"/>
        <w:bottom w:val="none" w:sz="0" w:space="0" w:color="auto"/>
        <w:right w:val="none" w:sz="0" w:space="0" w:color="auto"/>
      </w:divBdr>
    </w:div>
    <w:div w:id="318386993">
      <w:bodyDiv w:val="1"/>
      <w:marLeft w:val="0"/>
      <w:marRight w:val="0"/>
      <w:marTop w:val="0"/>
      <w:marBottom w:val="0"/>
      <w:divBdr>
        <w:top w:val="none" w:sz="0" w:space="0" w:color="auto"/>
        <w:left w:val="none" w:sz="0" w:space="0" w:color="auto"/>
        <w:bottom w:val="none" w:sz="0" w:space="0" w:color="auto"/>
        <w:right w:val="none" w:sz="0" w:space="0" w:color="auto"/>
      </w:divBdr>
    </w:div>
    <w:div w:id="391739025">
      <w:bodyDiv w:val="1"/>
      <w:marLeft w:val="0"/>
      <w:marRight w:val="0"/>
      <w:marTop w:val="0"/>
      <w:marBottom w:val="0"/>
      <w:divBdr>
        <w:top w:val="none" w:sz="0" w:space="0" w:color="auto"/>
        <w:left w:val="none" w:sz="0" w:space="0" w:color="auto"/>
        <w:bottom w:val="none" w:sz="0" w:space="0" w:color="auto"/>
        <w:right w:val="none" w:sz="0" w:space="0" w:color="auto"/>
      </w:divBdr>
    </w:div>
    <w:div w:id="536161445">
      <w:bodyDiv w:val="1"/>
      <w:marLeft w:val="0"/>
      <w:marRight w:val="0"/>
      <w:marTop w:val="0"/>
      <w:marBottom w:val="0"/>
      <w:divBdr>
        <w:top w:val="none" w:sz="0" w:space="0" w:color="auto"/>
        <w:left w:val="none" w:sz="0" w:space="0" w:color="auto"/>
        <w:bottom w:val="none" w:sz="0" w:space="0" w:color="auto"/>
        <w:right w:val="none" w:sz="0" w:space="0" w:color="auto"/>
      </w:divBdr>
    </w:div>
    <w:div w:id="578833747">
      <w:bodyDiv w:val="1"/>
      <w:marLeft w:val="0"/>
      <w:marRight w:val="0"/>
      <w:marTop w:val="0"/>
      <w:marBottom w:val="0"/>
      <w:divBdr>
        <w:top w:val="none" w:sz="0" w:space="0" w:color="auto"/>
        <w:left w:val="none" w:sz="0" w:space="0" w:color="auto"/>
        <w:bottom w:val="none" w:sz="0" w:space="0" w:color="auto"/>
        <w:right w:val="none" w:sz="0" w:space="0" w:color="auto"/>
      </w:divBdr>
    </w:div>
    <w:div w:id="601687474">
      <w:bodyDiv w:val="1"/>
      <w:marLeft w:val="0"/>
      <w:marRight w:val="0"/>
      <w:marTop w:val="0"/>
      <w:marBottom w:val="0"/>
      <w:divBdr>
        <w:top w:val="none" w:sz="0" w:space="0" w:color="auto"/>
        <w:left w:val="none" w:sz="0" w:space="0" w:color="auto"/>
        <w:bottom w:val="none" w:sz="0" w:space="0" w:color="auto"/>
        <w:right w:val="none" w:sz="0" w:space="0" w:color="auto"/>
      </w:divBdr>
    </w:div>
    <w:div w:id="694693936">
      <w:bodyDiv w:val="1"/>
      <w:marLeft w:val="0"/>
      <w:marRight w:val="0"/>
      <w:marTop w:val="0"/>
      <w:marBottom w:val="0"/>
      <w:divBdr>
        <w:top w:val="none" w:sz="0" w:space="0" w:color="auto"/>
        <w:left w:val="none" w:sz="0" w:space="0" w:color="auto"/>
        <w:bottom w:val="none" w:sz="0" w:space="0" w:color="auto"/>
        <w:right w:val="none" w:sz="0" w:space="0" w:color="auto"/>
      </w:divBdr>
    </w:div>
    <w:div w:id="711073814">
      <w:bodyDiv w:val="1"/>
      <w:marLeft w:val="0"/>
      <w:marRight w:val="0"/>
      <w:marTop w:val="0"/>
      <w:marBottom w:val="0"/>
      <w:divBdr>
        <w:top w:val="none" w:sz="0" w:space="0" w:color="auto"/>
        <w:left w:val="none" w:sz="0" w:space="0" w:color="auto"/>
        <w:bottom w:val="none" w:sz="0" w:space="0" w:color="auto"/>
        <w:right w:val="none" w:sz="0" w:space="0" w:color="auto"/>
      </w:divBdr>
    </w:div>
    <w:div w:id="732509872">
      <w:bodyDiv w:val="1"/>
      <w:marLeft w:val="0"/>
      <w:marRight w:val="0"/>
      <w:marTop w:val="0"/>
      <w:marBottom w:val="0"/>
      <w:divBdr>
        <w:top w:val="none" w:sz="0" w:space="0" w:color="auto"/>
        <w:left w:val="none" w:sz="0" w:space="0" w:color="auto"/>
        <w:bottom w:val="none" w:sz="0" w:space="0" w:color="auto"/>
        <w:right w:val="none" w:sz="0" w:space="0" w:color="auto"/>
      </w:divBdr>
    </w:div>
    <w:div w:id="757797366">
      <w:bodyDiv w:val="1"/>
      <w:marLeft w:val="0"/>
      <w:marRight w:val="0"/>
      <w:marTop w:val="0"/>
      <w:marBottom w:val="0"/>
      <w:divBdr>
        <w:top w:val="none" w:sz="0" w:space="0" w:color="auto"/>
        <w:left w:val="none" w:sz="0" w:space="0" w:color="auto"/>
        <w:bottom w:val="none" w:sz="0" w:space="0" w:color="auto"/>
        <w:right w:val="none" w:sz="0" w:space="0" w:color="auto"/>
      </w:divBdr>
    </w:div>
    <w:div w:id="784010031">
      <w:bodyDiv w:val="1"/>
      <w:marLeft w:val="0"/>
      <w:marRight w:val="0"/>
      <w:marTop w:val="0"/>
      <w:marBottom w:val="0"/>
      <w:divBdr>
        <w:top w:val="none" w:sz="0" w:space="0" w:color="auto"/>
        <w:left w:val="none" w:sz="0" w:space="0" w:color="auto"/>
        <w:bottom w:val="none" w:sz="0" w:space="0" w:color="auto"/>
        <w:right w:val="none" w:sz="0" w:space="0" w:color="auto"/>
      </w:divBdr>
    </w:div>
    <w:div w:id="784613731">
      <w:bodyDiv w:val="1"/>
      <w:marLeft w:val="0"/>
      <w:marRight w:val="0"/>
      <w:marTop w:val="0"/>
      <w:marBottom w:val="0"/>
      <w:divBdr>
        <w:top w:val="none" w:sz="0" w:space="0" w:color="auto"/>
        <w:left w:val="none" w:sz="0" w:space="0" w:color="auto"/>
        <w:bottom w:val="none" w:sz="0" w:space="0" w:color="auto"/>
        <w:right w:val="none" w:sz="0" w:space="0" w:color="auto"/>
      </w:divBdr>
    </w:div>
    <w:div w:id="800195463">
      <w:bodyDiv w:val="1"/>
      <w:marLeft w:val="0"/>
      <w:marRight w:val="0"/>
      <w:marTop w:val="0"/>
      <w:marBottom w:val="0"/>
      <w:divBdr>
        <w:top w:val="none" w:sz="0" w:space="0" w:color="auto"/>
        <w:left w:val="none" w:sz="0" w:space="0" w:color="auto"/>
        <w:bottom w:val="none" w:sz="0" w:space="0" w:color="auto"/>
        <w:right w:val="none" w:sz="0" w:space="0" w:color="auto"/>
      </w:divBdr>
    </w:div>
    <w:div w:id="906067363">
      <w:bodyDiv w:val="1"/>
      <w:marLeft w:val="0"/>
      <w:marRight w:val="0"/>
      <w:marTop w:val="0"/>
      <w:marBottom w:val="0"/>
      <w:divBdr>
        <w:top w:val="none" w:sz="0" w:space="0" w:color="auto"/>
        <w:left w:val="none" w:sz="0" w:space="0" w:color="auto"/>
        <w:bottom w:val="none" w:sz="0" w:space="0" w:color="auto"/>
        <w:right w:val="none" w:sz="0" w:space="0" w:color="auto"/>
      </w:divBdr>
    </w:div>
    <w:div w:id="1085226593">
      <w:bodyDiv w:val="1"/>
      <w:marLeft w:val="0"/>
      <w:marRight w:val="0"/>
      <w:marTop w:val="0"/>
      <w:marBottom w:val="0"/>
      <w:divBdr>
        <w:top w:val="none" w:sz="0" w:space="0" w:color="auto"/>
        <w:left w:val="none" w:sz="0" w:space="0" w:color="auto"/>
        <w:bottom w:val="none" w:sz="0" w:space="0" w:color="auto"/>
        <w:right w:val="none" w:sz="0" w:space="0" w:color="auto"/>
      </w:divBdr>
    </w:div>
    <w:div w:id="1117144231">
      <w:bodyDiv w:val="1"/>
      <w:marLeft w:val="0"/>
      <w:marRight w:val="0"/>
      <w:marTop w:val="0"/>
      <w:marBottom w:val="0"/>
      <w:divBdr>
        <w:top w:val="none" w:sz="0" w:space="0" w:color="auto"/>
        <w:left w:val="none" w:sz="0" w:space="0" w:color="auto"/>
        <w:bottom w:val="none" w:sz="0" w:space="0" w:color="auto"/>
        <w:right w:val="none" w:sz="0" w:space="0" w:color="auto"/>
      </w:divBdr>
    </w:div>
    <w:div w:id="1118797037">
      <w:bodyDiv w:val="1"/>
      <w:marLeft w:val="0"/>
      <w:marRight w:val="0"/>
      <w:marTop w:val="0"/>
      <w:marBottom w:val="0"/>
      <w:divBdr>
        <w:top w:val="none" w:sz="0" w:space="0" w:color="auto"/>
        <w:left w:val="none" w:sz="0" w:space="0" w:color="auto"/>
        <w:bottom w:val="none" w:sz="0" w:space="0" w:color="auto"/>
        <w:right w:val="none" w:sz="0" w:space="0" w:color="auto"/>
      </w:divBdr>
    </w:div>
    <w:div w:id="1656370584">
      <w:bodyDiv w:val="1"/>
      <w:marLeft w:val="0"/>
      <w:marRight w:val="0"/>
      <w:marTop w:val="0"/>
      <w:marBottom w:val="0"/>
      <w:divBdr>
        <w:top w:val="none" w:sz="0" w:space="0" w:color="auto"/>
        <w:left w:val="none" w:sz="0" w:space="0" w:color="auto"/>
        <w:bottom w:val="none" w:sz="0" w:space="0" w:color="auto"/>
        <w:right w:val="none" w:sz="0" w:space="0" w:color="auto"/>
      </w:divBdr>
    </w:div>
    <w:div w:id="1657034725">
      <w:bodyDiv w:val="1"/>
      <w:marLeft w:val="0"/>
      <w:marRight w:val="0"/>
      <w:marTop w:val="0"/>
      <w:marBottom w:val="0"/>
      <w:divBdr>
        <w:top w:val="none" w:sz="0" w:space="0" w:color="auto"/>
        <w:left w:val="none" w:sz="0" w:space="0" w:color="auto"/>
        <w:bottom w:val="none" w:sz="0" w:space="0" w:color="auto"/>
        <w:right w:val="none" w:sz="0" w:space="0" w:color="auto"/>
      </w:divBdr>
    </w:div>
    <w:div w:id="1845823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esetze-im-internet.de/strlschv_2001/BJNR171410001.html" TargetMode="External"/><Relationship Id="rId117" Type="http://schemas.openxmlformats.org/officeDocument/2006/relationships/hyperlink" Target="http://www.profivodic.sk/manipulacia-a-preprava-nebezpecnych-latok-a-Slovenska-realita" TargetMode="External"/><Relationship Id="rId21" Type="http://schemas.openxmlformats.org/officeDocument/2006/relationships/hyperlink" Target="http://www.gesetze-im-internet.de/ggvseb/BJNR138900009.html" TargetMode="External"/><Relationship Id="rId42" Type="http://schemas.openxmlformats.org/officeDocument/2006/relationships/hyperlink" Target="http://www.deine-bahn.de/taxonomy/term/373" TargetMode="External"/><Relationship Id="rId47" Type="http://schemas.openxmlformats.org/officeDocument/2006/relationships/image" Target="media/image16.jpeg"/><Relationship Id="rId63" Type="http://schemas.openxmlformats.org/officeDocument/2006/relationships/hyperlink" Target="http://www.otif.org/fileadmin/user_upload/otif_verlinkte_files/05_gef_guet/01_gem_tagung/01_2010_gem_tagung/RC_2010-42_D.pdf" TargetMode="External"/><Relationship Id="rId68" Type="http://schemas.openxmlformats.org/officeDocument/2006/relationships/image" Target="media/image23.jpeg"/><Relationship Id="rId84" Type="http://schemas.openxmlformats.org/officeDocument/2006/relationships/hyperlink" Target="http://www.lkzprien.de/files/SECCOH_workshop_Muenchen/090925_Praesentation_Meckel.pdf" TargetMode="External"/><Relationship Id="rId89" Type="http://schemas.openxmlformats.org/officeDocument/2006/relationships/image" Target="media/image35.jpeg"/><Relationship Id="rId112" Type="http://schemas.openxmlformats.org/officeDocument/2006/relationships/hyperlink" Target="http://www.cepik.gov.pl/portal/plik/11-06-21_DOC_DokUzyt_OZZ_cz.1_v2.8.0.doc?id=264" TargetMode="External"/><Relationship Id="rId133" Type="http://schemas.openxmlformats.org/officeDocument/2006/relationships/image" Target="media/image43.emf"/><Relationship Id="rId138" Type="http://schemas.openxmlformats.org/officeDocument/2006/relationships/image" Target="media/image45.jpeg"/><Relationship Id="rId154" Type="http://schemas.openxmlformats.org/officeDocument/2006/relationships/theme" Target="theme/theme1.xml"/><Relationship Id="rId16" Type="http://schemas.openxmlformats.org/officeDocument/2006/relationships/hyperlink" Target="http://www.gesetze-im-internet.de/gefahrgutg/BJNR021210975.html" TargetMode="External"/><Relationship Id="rId107" Type="http://schemas.openxmlformats.org/officeDocument/2006/relationships/hyperlink" Target="http://manhaz.cyf.gov.pl/zpr/procedura.php" TargetMode="External"/><Relationship Id="rId11" Type="http://schemas.openxmlformats.org/officeDocument/2006/relationships/footer" Target="footer2.xml"/><Relationship Id="rId32" Type="http://schemas.openxmlformats.org/officeDocument/2006/relationships/hyperlink" Target="http://autorenpartner.de/buch/K7_2011_buch.pdf" TargetMode="External"/><Relationship Id="rId37" Type="http://schemas.openxmlformats.org/officeDocument/2006/relationships/image" Target="media/image9.emf"/><Relationship Id="rId53" Type="http://schemas.openxmlformats.org/officeDocument/2006/relationships/hyperlink" Target="http://www.bmvbs.de/cae/servlet/contentblob/68736/publicationFile/40682/transport_logistic_2011_9-intelligente%20ibc%20f%C3%BCr%20eine%20sichere%20und%20wirtschaftliche%20gefahrgutlogistik_pettelkau.pdf" TargetMode="External"/><Relationship Id="rId58" Type="http://schemas.openxmlformats.org/officeDocument/2006/relationships/hyperlink" Target="http://www.bmvbs.de/cae/servlet/contentblob/68730/publicationFile/40681/transport_logistic_2011_6-sichere%20navigation%20f%C3%BCr%20sicherheitsanwendungen-2_inninger.pdf" TargetMode="External"/><Relationship Id="rId74" Type="http://schemas.openxmlformats.org/officeDocument/2006/relationships/hyperlink" Target="http://www.bmvit.gv.at/verkehr/gesamtverkehr/gefahrgut/recht/aut/downloads/GGBG2011Rev11.pdf" TargetMode="External"/><Relationship Id="rId79" Type="http://schemas.openxmlformats.org/officeDocument/2006/relationships/hyperlink" Target="http://www.tirol.gv.at/fileadmin/www.tirol.gv.at/themen/verkehr/verkehrsrecht/downloads/gefahrguttunnelverordnung.pdf" TargetMode="External"/><Relationship Id="rId102" Type="http://schemas.openxmlformats.org/officeDocument/2006/relationships/hyperlink" Target="http://manhaz.cyf.gov.pl/zpr/ciop_pl.html" TargetMode="External"/><Relationship Id="rId123" Type="http://schemas.openxmlformats.org/officeDocument/2006/relationships/hyperlink" Target="http://www.zscargo.sk/sk/pre-zakaznikov/zakaznicky-servis/najcastejsie-otazky/" TargetMode="External"/><Relationship Id="rId128" Type="http://schemas.openxmlformats.org/officeDocument/2006/relationships/image" Target="media/image39.emf"/><Relationship Id="rId144" Type="http://schemas.openxmlformats.org/officeDocument/2006/relationships/image" Target="media/image51.jpeg"/><Relationship Id="rId149" Type="http://schemas.openxmlformats.org/officeDocument/2006/relationships/image" Target="media/image52.jpeg"/><Relationship Id="rId5" Type="http://schemas.openxmlformats.org/officeDocument/2006/relationships/webSettings" Target="webSettings.xml"/><Relationship Id="rId90" Type="http://schemas.openxmlformats.org/officeDocument/2006/relationships/image" Target="media/image36.jpeg"/><Relationship Id="rId95" Type="http://schemas.openxmlformats.org/officeDocument/2006/relationships/hyperlink" Target="http://bip.transport.gov.pl/pl/bip/akty_prawne/transport_kolejowy/rozporzadzenia/akty_wykonawcze_do_ustawy_z_dnia_31_marca_2004_r._o_przewozie_koleja_towarow_niebezpiecznych/rozp._mi_z_dnia_21_maja_2004_r._w_sprawie_szczegolowych_wymagan_w_stosunku_do_podmiotow_prowadzacych_kursy_poczatkowe_i_doskonalace_oraz_zakresu_tych_kursow/px_art.40_ustawy_o_przew.kol.tow.niebep..pdf" TargetMode="External"/><Relationship Id="rId22" Type="http://schemas.openxmlformats.org/officeDocument/2006/relationships/hyperlink" Target="http://www.gesetze-im-internet.de/gbv_2011/BJNR034100011.html" TargetMode="External"/><Relationship Id="rId27" Type="http://schemas.openxmlformats.org/officeDocument/2006/relationships/hyperlink" Target="http://autorenpartner.de/buch/K7_2011_buch.pdf" TargetMode="External"/><Relationship Id="rId43" Type="http://schemas.openxmlformats.org/officeDocument/2006/relationships/image" Target="media/image14.jpeg"/><Relationship Id="rId48" Type="http://schemas.openxmlformats.org/officeDocument/2006/relationships/image" Target="media/image17.jpeg"/><Relationship Id="rId64" Type="http://schemas.openxmlformats.org/officeDocument/2006/relationships/hyperlink" Target="http://www.bmvbs.de" TargetMode="External"/><Relationship Id="rId69" Type="http://schemas.openxmlformats.org/officeDocument/2006/relationships/image" Target="media/image24.jpeg"/><Relationship Id="rId113" Type="http://schemas.openxmlformats.org/officeDocument/2006/relationships/hyperlink" Target="http://transport-kolejowy.wnp.pl/monitorowanie-sledzenie-przewozu-koleja-towarow-niebezpiecznych,4754_2_0_2.html" TargetMode="External"/><Relationship Id="rId118" Type="http://schemas.openxmlformats.org/officeDocument/2006/relationships/hyperlink" Target="http://www.profivodic.sk/vsetko-o-cestnej-preprave-nebezpecnych-veci" TargetMode="External"/><Relationship Id="rId134" Type="http://schemas.openxmlformats.org/officeDocument/2006/relationships/hyperlink" Target="http://ec.europa.eu/information_society/apps/projects/logos/1/511361/080/publishing/readmore/MITRA_Abstract.pdf" TargetMode="External"/><Relationship Id="rId139" Type="http://schemas.openxmlformats.org/officeDocument/2006/relationships/image" Target="media/image46.jpeg"/><Relationship Id="rId80" Type="http://schemas.openxmlformats.org/officeDocument/2006/relationships/hyperlink" Target="http://www.bmvit.gv.at/verkehr/gesamtverkehr/gefahrgut/index.html" TargetMode="External"/><Relationship Id="rId85" Type="http://schemas.openxmlformats.org/officeDocument/2006/relationships/image" Target="media/image32.jpeg"/><Relationship Id="rId150" Type="http://schemas.openxmlformats.org/officeDocument/2006/relationships/image" Target="media/image53.jpeg"/><Relationship Id="rId12" Type="http://schemas.openxmlformats.org/officeDocument/2006/relationships/hyperlink" Target="http://de.wikipedia.org/wiki/Gefahrgut" TargetMode="External"/><Relationship Id="rId17" Type="http://schemas.openxmlformats.org/officeDocument/2006/relationships/hyperlink" Target="http://www.gesetze-im-internet.de/chemg/index.html" TargetMode="External"/><Relationship Id="rId25" Type="http://schemas.openxmlformats.org/officeDocument/2006/relationships/hyperlink" Target="http://www.gesetze-im-internet.de/ggkontrollv/BJNR130600997.html" TargetMode="External"/><Relationship Id="rId33" Type="http://schemas.openxmlformats.org/officeDocument/2006/relationships/image" Target="media/image5.gif"/><Relationship Id="rId38" Type="http://schemas.openxmlformats.org/officeDocument/2006/relationships/image" Target="media/image10.jpeg"/><Relationship Id="rId46" Type="http://schemas.openxmlformats.org/officeDocument/2006/relationships/image" Target="media/image15.jpeg"/><Relationship Id="rId59" Type="http://schemas.openxmlformats.org/officeDocument/2006/relationships/hyperlink" Target="http://www.its-munich.de/pdf/V-Bayern/3_Fischer.pdf" TargetMode="External"/><Relationship Id="rId67" Type="http://schemas.openxmlformats.org/officeDocument/2006/relationships/hyperlink" Target="http://www.innovative-navigation.de/in_htm/produkte_d.htm" TargetMode="External"/><Relationship Id="rId103" Type="http://schemas.openxmlformats.org/officeDocument/2006/relationships/hyperlink" Target="http://manhaz.cyf.gov.pl/zpr/schemat.htm" TargetMode="External"/><Relationship Id="rId108" Type="http://schemas.openxmlformats.org/officeDocument/2006/relationships/hyperlink" Target="http://manhaz.cyf.gov.pl/zpr/strefy_zagrozen.php" TargetMode="External"/><Relationship Id="rId116" Type="http://schemas.openxmlformats.org/officeDocument/2006/relationships/hyperlink" Target="http://www.zakon.sk/Main/lwDefault.aspx?Template=~%2fMain%2flwTArticles.ascx&amp;phContent=~%2fZZSR%2flwFulltext.ascx&amp;SearchRule=56%2f2012" TargetMode="External"/><Relationship Id="rId124" Type="http://schemas.openxmlformats.org/officeDocument/2006/relationships/hyperlink" Target="http://www.nrsr.sk/web/dynamic/Download.aspx?DocID=330436" TargetMode="External"/><Relationship Id="rId129" Type="http://schemas.openxmlformats.org/officeDocument/2006/relationships/image" Target="media/image40.emf"/><Relationship Id="rId137" Type="http://schemas.openxmlformats.org/officeDocument/2006/relationships/hyperlink" Target="http://ec.europa.eu/information_society/apps/projects/logos/1/511361/080/publishing/readmore/MITRA_Newsletter_Issue_5.pdf" TargetMode="External"/><Relationship Id="rId20" Type="http://schemas.openxmlformats.org/officeDocument/2006/relationships/hyperlink" Target="http://www.gesetze-im-internet.de/atg/BJNR008140959.html" TargetMode="External"/><Relationship Id="rId41" Type="http://schemas.openxmlformats.org/officeDocument/2006/relationships/image" Target="media/image13.jpeg"/><Relationship Id="rId54" Type="http://schemas.openxmlformats.org/officeDocument/2006/relationships/image" Target="media/image21.jpeg"/><Relationship Id="rId62" Type="http://schemas.openxmlformats.org/officeDocument/2006/relationships/hyperlink" Target="http://www.otif.org/fileadmin/user_upload/otif_verlinkte_files/05_gef_guet/01_gem_tagung/01_2012_gem_tagung/RC_2012-INF_14_D.pdf" TargetMode="External"/><Relationship Id="rId70" Type="http://schemas.openxmlformats.org/officeDocument/2006/relationships/image" Target="media/image25.jpeg"/><Relationship Id="rId75" Type="http://schemas.openxmlformats.org/officeDocument/2006/relationships/hyperlink" Target="http://www.ris.bka.gv.at/GeltendeFassung/Bundesnormen/20006207/RAbf-VV%202009%2c%20Fassung%20vom%2001.04.2012.pdf" TargetMode="External"/><Relationship Id="rId83" Type="http://schemas.openxmlformats.org/officeDocument/2006/relationships/image" Target="media/image31.jpeg"/><Relationship Id="rId88" Type="http://schemas.openxmlformats.org/officeDocument/2006/relationships/image" Target="media/image34.jpeg"/><Relationship Id="rId91" Type="http://schemas.openxmlformats.org/officeDocument/2006/relationships/hyperlink" Target="http://www.doris.bmvit.gv.at/system_doris/technisches_konzept/" TargetMode="External"/><Relationship Id="rId96" Type="http://schemas.openxmlformats.org/officeDocument/2006/relationships/hyperlink" Target="http://bip.transport.gov.pl/pl/bip/akty_prawne/transport_kolejowy/rozporzadzenia/akty_wykonawcze_do_ustawy_z_dnia_31_marca_2004_r._o_przewozie_koleja_towarow_niebezpiecznych/rozp._mi_z_dnia_21_maja_2004_r._w_sprawie_wzoru_swiadectwa_doradcy_do_spraw_bezpieczenstwa_przewozu_koleja_towarow_niebezpiecznych/px_art.35_ust.3_ustawy_o_przew.kol.tow.niebep..pdf" TargetMode="External"/><Relationship Id="rId111" Type="http://schemas.openxmlformats.org/officeDocument/2006/relationships/hyperlink" Target="http://www.cepik.gov.pl/portal/c/portal_public/layout?p_l_id=1.1&amp;p_p_id=EXT_7&amp;p_p_action=0&amp;p_p_state=maximized&amp;p_p_mode=view&amp;_EXT_7_struts_action=%2Fprezentacja_artykulow%2Fartykul&amp;_EXT_7_article_id=106&amp;_EXT_7_article_version=1.2&amp;_EXT_7_cur=1&amp;_EXT_7_statystyka=1" TargetMode="External"/><Relationship Id="rId132" Type="http://schemas.openxmlformats.org/officeDocument/2006/relationships/image" Target="media/image42.emf"/><Relationship Id="rId140" Type="http://schemas.openxmlformats.org/officeDocument/2006/relationships/image" Target="media/image47.jpeg"/><Relationship Id="rId145" Type="http://schemas.openxmlformats.org/officeDocument/2006/relationships/hyperlink" Target="http://www.gsa.europa.eu/go/news/scutum-think-tank-on-gnss-for-dangerous-goods"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bgrci.de/praevention/fachwissen/gefahrstoffe/gefahrguttransport/regelwerk/" TargetMode="External"/><Relationship Id="rId23" Type="http://schemas.openxmlformats.org/officeDocument/2006/relationships/hyperlink" Target="http://www.gesetze-im-internet.de/ggav_2002/BJNR435000002.html" TargetMode="External"/><Relationship Id="rId28" Type="http://schemas.openxmlformats.org/officeDocument/2006/relationships/image" Target="media/image3.jpeg"/><Relationship Id="rId36" Type="http://schemas.openxmlformats.org/officeDocument/2006/relationships/image" Target="media/image8.emf"/><Relationship Id="rId49" Type="http://schemas.openxmlformats.org/officeDocument/2006/relationships/hyperlink" Target="http://www.bmvbs.de/SharedDocs/DE/Artikel/UI/Gefahrgut/beschraenkung-der-nutzung-von-strassentunneln-gemaess-adr.html" TargetMode="External"/><Relationship Id="rId57" Type="http://schemas.openxmlformats.org/officeDocument/2006/relationships/hyperlink" Target="http://www.satnav-bgl.eu/medien/2-protime.pdf" TargetMode="External"/><Relationship Id="rId106" Type="http://schemas.openxmlformats.org/officeDocument/2006/relationships/hyperlink" Target="http://manhaz.cyf.gov.pl/zpr/niebezpieczne_materialy.php" TargetMode="External"/><Relationship Id="rId114" Type="http://schemas.openxmlformats.org/officeDocument/2006/relationships/hyperlink" Target="http://www.eurekanetwork.org/showsuccessstory?p_r_p_564233524_articleId=109557&amp;p_r_p_564233524_groupId=10137" TargetMode="External"/><Relationship Id="rId119" Type="http://schemas.openxmlformats.org/officeDocument/2006/relationships/hyperlink" Target="http://www.adr.sk/index.php/dohoda/colne-priechpdu-v-sr-pre-adr/" TargetMode="External"/><Relationship Id="rId127" Type="http://schemas.openxmlformats.org/officeDocument/2006/relationships/image" Target="media/image38.emf"/><Relationship Id="rId10" Type="http://schemas.openxmlformats.org/officeDocument/2006/relationships/footer" Target="footer1.xml"/><Relationship Id="rId31" Type="http://schemas.openxmlformats.org/officeDocument/2006/relationships/hyperlink" Target="http://www.spiegel.de/politik/deutschland/0,1518,800489,00.html" TargetMode="External"/><Relationship Id="rId44" Type="http://schemas.openxmlformats.org/officeDocument/2006/relationships/hyperlink" Target="http://fahrweg.dbnetze.com/site/dbnetz/de/technik/gsmr/ueber/uebergrsm-r.html" TargetMode="External"/><Relationship Id="rId52" Type="http://schemas.openxmlformats.org/officeDocument/2006/relationships/image" Target="media/image20.jpeg"/><Relationship Id="rId60" Type="http://schemas.openxmlformats.org/officeDocument/2006/relationships/hyperlink" Target="http://www.its-munich.de/pdf/V-Bayern/3_Fischer.pdf" TargetMode="External"/><Relationship Id="rId65" Type="http://schemas.openxmlformats.org/officeDocument/2006/relationships/hyperlink" Target="http://www.elwis.de/" TargetMode="External"/><Relationship Id="rId73" Type="http://schemas.openxmlformats.org/officeDocument/2006/relationships/hyperlink" Target="https://www.vci.de/Seiten/Startseite.aspx" TargetMode="External"/><Relationship Id="rId78" Type="http://schemas.openxmlformats.org/officeDocument/2006/relationships/image" Target="media/image28.jpeg"/><Relationship Id="rId81" Type="http://schemas.openxmlformats.org/officeDocument/2006/relationships/image" Target="media/image29.jpeg"/><Relationship Id="rId86" Type="http://schemas.openxmlformats.org/officeDocument/2006/relationships/hyperlink" Target="http://trid.trb.org/view.aspx?id=862577" TargetMode="External"/><Relationship Id="rId94" Type="http://schemas.openxmlformats.org/officeDocument/2006/relationships/hyperlink" Target="http://bip.transport.gov.pl/pl/bip/akty_prawne/transport_drogowy/rozporzadzenia/rozp_sw_tow_niebezp/px_dz_917_137_10.pdf" TargetMode="External"/><Relationship Id="rId99" Type="http://schemas.openxmlformats.org/officeDocument/2006/relationships/hyperlink" Target="http://bip.transport.gov.pl/pl/bip/akty_prawne/transport_morski/rozporzadzenia/roz_info_o_lad._niebzep./px_info_o_lad._niebezp..pdf" TargetMode="External"/><Relationship Id="rId101" Type="http://schemas.openxmlformats.org/officeDocument/2006/relationships/hyperlink" Target="http://isap.sejm.gov.pl/DetailsServlet?id=WDU20042222256" TargetMode="External"/><Relationship Id="rId122" Type="http://schemas.openxmlformats.org/officeDocument/2006/relationships/hyperlink" Target="http://www.telecom.gov.sk/index/index.php?ids=58272" TargetMode="External"/><Relationship Id="rId130" Type="http://schemas.openxmlformats.org/officeDocument/2006/relationships/image" Target="media/image41.emf"/><Relationship Id="rId135" Type="http://schemas.openxmlformats.org/officeDocument/2006/relationships/image" Target="media/image44.emf"/><Relationship Id="rId143" Type="http://schemas.openxmlformats.org/officeDocument/2006/relationships/image" Target="media/image50.jpeg"/><Relationship Id="rId148" Type="http://schemas.openxmlformats.org/officeDocument/2006/relationships/hyperlink" Target="http://galileo.cs.telespazio.it/" TargetMode="External"/><Relationship Id="rId151" Type="http://schemas.openxmlformats.org/officeDocument/2006/relationships/image" Target="media/image54.jpe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de.wikipedia.org/wiki/Gefahrstoff" TargetMode="External"/><Relationship Id="rId18" Type="http://schemas.openxmlformats.org/officeDocument/2006/relationships/hyperlink" Target="http://www.gesetze-im-internet.de/chemg/BJNR017180980.html" TargetMode="External"/><Relationship Id="rId39" Type="http://schemas.openxmlformats.org/officeDocument/2006/relationships/image" Target="media/image11.jpeg"/><Relationship Id="rId109" Type="http://schemas.openxmlformats.org/officeDocument/2006/relationships/hyperlink" Target="http://www.nik.gov.pl/plik/id,3552,vp,4524.pdf" TargetMode="External"/><Relationship Id="rId34" Type="http://schemas.openxmlformats.org/officeDocument/2006/relationships/image" Target="media/image6.gif"/><Relationship Id="rId50" Type="http://schemas.openxmlformats.org/officeDocument/2006/relationships/image" Target="media/image18.jpeg"/><Relationship Id="rId55" Type="http://schemas.openxmlformats.org/officeDocument/2006/relationships/image" Target="media/image22.jpeg"/><Relationship Id="rId76" Type="http://schemas.openxmlformats.org/officeDocument/2006/relationships/hyperlink" Target="http://www.jusline.at/Schifffahrtsgesetz_(SchFG)_Langversion.html" TargetMode="External"/><Relationship Id="rId97" Type="http://schemas.openxmlformats.org/officeDocument/2006/relationships/hyperlink" Target="http://bip.transport.gov.pl/pl/bip/akty_prawne/transport_kolejowy/rozporzadzenia/akty_wykonawcze_do_ustawy_z_dnia_31_marca_2004_r._o_przewozie_koleja_towarow_niebezpiecznych/rozp._mi_z_dnia_1_maja_2004_r._w_sprawie_wzoru_formularza_rocznego_sprawozdania_z_dzialalnosci_w_zakresie_przewozu_towarow_niebezpiecznych_oraz_sposobu_jego_wypelniania/px_art.32_ust.3_ustawy_o_przew.kol.tow.niebep..pdf" TargetMode="External"/><Relationship Id="rId104" Type="http://schemas.openxmlformats.org/officeDocument/2006/relationships/hyperlink" Target="http://manhaz.cyf.gov.pl/manhaz/substancje_niebezpieczne/default.htm" TargetMode="External"/><Relationship Id="rId120" Type="http://schemas.openxmlformats.org/officeDocument/2006/relationships/hyperlink" Target="http://hnonline.sk/2-24929310-k00000_d-f0" TargetMode="External"/><Relationship Id="rId125" Type="http://schemas.openxmlformats.org/officeDocument/2006/relationships/hyperlink" Target="http://www.zakon.sk/Main/lwDefault.aspx?Template=~%2fMain%2flwTArticles.ascx&amp;phContent=~%2fZZSR%2flwFulltext.ascx&amp;SearchRule=67%2f20097" TargetMode="External"/><Relationship Id="rId141" Type="http://schemas.openxmlformats.org/officeDocument/2006/relationships/image" Target="media/image48.jpeg"/><Relationship Id="rId146" Type="http://schemas.openxmlformats.org/officeDocument/2006/relationships/hyperlink" Target="http://www.scutumgnss.eu/" TargetMode="External"/><Relationship Id="rId7" Type="http://schemas.openxmlformats.org/officeDocument/2006/relationships/endnotes" Target="endnotes.xml"/><Relationship Id="rId71" Type="http://schemas.openxmlformats.org/officeDocument/2006/relationships/image" Target="media/image26.jpeg"/><Relationship Id="rId92" Type="http://schemas.openxmlformats.org/officeDocument/2006/relationships/hyperlink" Target="http://isap.sejm.gov.pl/DetailsServlet?id=WDU20112271367" TargetMode="External"/><Relationship Id="rId2" Type="http://schemas.openxmlformats.org/officeDocument/2006/relationships/numbering" Target="numbering.xml"/><Relationship Id="rId29" Type="http://schemas.openxmlformats.org/officeDocument/2006/relationships/image" Target="media/image4.jpeg"/><Relationship Id="rId24" Type="http://schemas.openxmlformats.org/officeDocument/2006/relationships/hyperlink" Target="http://www.gesetze-im-internet.de/ggkostv/BJNR024900990.html" TargetMode="External"/><Relationship Id="rId40" Type="http://schemas.openxmlformats.org/officeDocument/2006/relationships/image" Target="media/image12.jpeg"/><Relationship Id="rId45" Type="http://schemas.openxmlformats.org/officeDocument/2006/relationships/hyperlink" Target="http://fahrweg.dbnetze.com/site/dbnetz/de/technik/gsmr/ueber/uebergrsm-r.html" TargetMode="External"/><Relationship Id="rId66" Type="http://schemas.openxmlformats.org/officeDocument/2006/relationships/hyperlink" Target="http://www.elwis.de/RIS-Telematik/ris/River-Information-Services/index.html" TargetMode="External"/><Relationship Id="rId87" Type="http://schemas.openxmlformats.org/officeDocument/2006/relationships/image" Target="media/image33.jpeg"/><Relationship Id="rId110" Type="http://schemas.openxmlformats.org/officeDocument/2006/relationships/hyperlink" Target="http://www.cepik.gov.pl" TargetMode="External"/><Relationship Id="rId115" Type="http://schemas.openxmlformats.org/officeDocument/2006/relationships/hyperlink" Target="http://www.telecom.gov.sk/index/index.php?ids=64981" TargetMode="External"/><Relationship Id="rId131" Type="http://schemas.openxmlformats.org/officeDocument/2006/relationships/hyperlink" Target="http://ec.europa.eu/transport/road_safety/topics/dangerous_goods/index_sk.htm" TargetMode="External"/><Relationship Id="rId136" Type="http://schemas.openxmlformats.org/officeDocument/2006/relationships/hyperlink" Target="http://ec.europa.eu/information_society/apps/projects/logos/1/511361/080/publishing/readmore/2004-10-09-MITRA_Fact_sheet_v2.pdf" TargetMode="External"/><Relationship Id="rId61" Type="http://schemas.openxmlformats.org/officeDocument/2006/relationships/hyperlink" Target="http://www.otif.org/en/dangerous-goods.html" TargetMode="External"/><Relationship Id="rId82" Type="http://schemas.openxmlformats.org/officeDocument/2006/relationships/image" Target="media/image30.jpeg"/><Relationship Id="rId152" Type="http://schemas.openxmlformats.org/officeDocument/2006/relationships/image" Target="media/image55.jpeg"/><Relationship Id="rId19" Type="http://schemas.openxmlformats.org/officeDocument/2006/relationships/hyperlink" Target="http://www.jusmeum.de/gesetzgebung/gesetz/GefStoffV" TargetMode="External"/><Relationship Id="rId14" Type="http://schemas.openxmlformats.org/officeDocument/2006/relationships/image" Target="media/image2.jpeg"/><Relationship Id="rId30" Type="http://schemas.openxmlformats.org/officeDocument/2006/relationships/hyperlink" Target="http://www.bmu.de/atomenergie_ver_und_entsorgung/transporte/doc/40315.php" TargetMode="External"/><Relationship Id="rId35" Type="http://schemas.openxmlformats.org/officeDocument/2006/relationships/image" Target="media/image7.jpeg"/><Relationship Id="rId56" Type="http://schemas.openxmlformats.org/officeDocument/2006/relationships/hyperlink" Target="http://www.satnav-bgl.eu/de/aktuelles/telematik-know-how-aus-bayern-macht-gefahrguttransporte-auf-europas-strassen-sic/" TargetMode="External"/><Relationship Id="rId77" Type="http://schemas.openxmlformats.org/officeDocument/2006/relationships/hyperlink" Target="http://www.bmvit.gv.at" TargetMode="External"/><Relationship Id="rId100" Type="http://schemas.openxmlformats.org/officeDocument/2006/relationships/hyperlink" Target="http://isap.sejm.gov.pl/Download?id=WDU20040880839&amp;type=2" TargetMode="External"/><Relationship Id="rId105" Type="http://schemas.openxmlformats.org/officeDocument/2006/relationships/hyperlink" Target="http://manhaz.cyf.gov.pl/zpr/" TargetMode="External"/><Relationship Id="rId126" Type="http://schemas.openxmlformats.org/officeDocument/2006/relationships/image" Target="media/image37.emf"/><Relationship Id="rId147" Type="http://schemas.openxmlformats.org/officeDocument/2006/relationships/hyperlink" Target="http://galileo.cs.telespazio.it/scutum/public/Archive%20of%20events%20of%20interest/" TargetMode="External"/><Relationship Id="rId8" Type="http://schemas.openxmlformats.org/officeDocument/2006/relationships/header" Target="header1.xml"/><Relationship Id="rId51" Type="http://schemas.openxmlformats.org/officeDocument/2006/relationships/image" Target="media/image19.jpeg"/><Relationship Id="rId72" Type="http://schemas.openxmlformats.org/officeDocument/2006/relationships/image" Target="media/image27.jpeg"/><Relationship Id="rId93" Type="http://schemas.openxmlformats.org/officeDocument/2006/relationships/hyperlink" Target="http://bip.transport.gov.pl/pl/bip/akty_prawne/transport_drogowy/rozporzadzenia/rozp_tow_niebez/px_rozp_tow_niebez.pdf" TargetMode="External"/><Relationship Id="rId98" Type="http://schemas.openxmlformats.org/officeDocument/2006/relationships/hyperlink" Target="http://bip.transport.gov.pl/pl/bip/akty_prawne/transport_kolejowy/rozporzadzenia/akty_wykonawcze_do_ustawy_z_dnia_31_marca_2004_r._o_przewozie_koleja_towarow_niebezpiecznych/rozp._mi_z_dnia_26_sierpnia_2004_r._w_sprawie_cisnieniowych_urzadzen_transportowych/px_art.29_ustawy_ustawy_o_przew.kol.tow.niebep..pdf" TargetMode="External"/><Relationship Id="rId121" Type="http://schemas.openxmlformats.org/officeDocument/2006/relationships/hyperlink" Target="http://www.telecom.gov.sk/index/index.php?ids=58252" TargetMode="External"/><Relationship Id="rId142" Type="http://schemas.openxmlformats.org/officeDocument/2006/relationships/image" Target="media/image49.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68AF3-7BC0-4E19-9963-498132DA2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20113</Words>
  <Characters>118671</Characters>
  <Application>Microsoft Office Word</Application>
  <DocSecurity>0</DocSecurity>
  <Lines>988</Lines>
  <Paragraphs>277</Paragraphs>
  <ScaleCrop>false</ScaleCrop>
  <HeadingPairs>
    <vt:vector size="2" baseType="variant">
      <vt:variant>
        <vt:lpstr>Název</vt:lpstr>
      </vt:variant>
      <vt:variant>
        <vt:i4>1</vt:i4>
      </vt:variant>
    </vt:vector>
  </HeadingPairs>
  <TitlesOfParts>
    <vt:vector size="1" baseType="lpstr">
      <vt:lpstr>sddasfdasf</vt:lpstr>
    </vt:vector>
  </TitlesOfParts>
  <Company>ČVUT FD LSS</Company>
  <LinksUpToDate>false</LinksUpToDate>
  <CharactersWithSpaces>138507</CharactersWithSpaces>
  <SharedDoc>false</SharedDoc>
  <HLinks>
    <vt:vector size="174" baseType="variant">
      <vt:variant>
        <vt:i4>1966131</vt:i4>
      </vt:variant>
      <vt:variant>
        <vt:i4>170</vt:i4>
      </vt:variant>
      <vt:variant>
        <vt:i4>0</vt:i4>
      </vt:variant>
      <vt:variant>
        <vt:i4>5</vt:i4>
      </vt:variant>
      <vt:variant>
        <vt:lpwstr/>
      </vt:variant>
      <vt:variant>
        <vt:lpwstr>_Toc284220730</vt:lpwstr>
      </vt:variant>
      <vt:variant>
        <vt:i4>2031667</vt:i4>
      </vt:variant>
      <vt:variant>
        <vt:i4>164</vt:i4>
      </vt:variant>
      <vt:variant>
        <vt:i4>0</vt:i4>
      </vt:variant>
      <vt:variant>
        <vt:i4>5</vt:i4>
      </vt:variant>
      <vt:variant>
        <vt:lpwstr/>
      </vt:variant>
      <vt:variant>
        <vt:lpwstr>_Toc284220729</vt:lpwstr>
      </vt:variant>
      <vt:variant>
        <vt:i4>2031667</vt:i4>
      </vt:variant>
      <vt:variant>
        <vt:i4>158</vt:i4>
      </vt:variant>
      <vt:variant>
        <vt:i4>0</vt:i4>
      </vt:variant>
      <vt:variant>
        <vt:i4>5</vt:i4>
      </vt:variant>
      <vt:variant>
        <vt:lpwstr/>
      </vt:variant>
      <vt:variant>
        <vt:lpwstr>_Toc284220728</vt:lpwstr>
      </vt:variant>
      <vt:variant>
        <vt:i4>2031667</vt:i4>
      </vt:variant>
      <vt:variant>
        <vt:i4>152</vt:i4>
      </vt:variant>
      <vt:variant>
        <vt:i4>0</vt:i4>
      </vt:variant>
      <vt:variant>
        <vt:i4>5</vt:i4>
      </vt:variant>
      <vt:variant>
        <vt:lpwstr/>
      </vt:variant>
      <vt:variant>
        <vt:lpwstr>_Toc284220727</vt:lpwstr>
      </vt:variant>
      <vt:variant>
        <vt:i4>2031667</vt:i4>
      </vt:variant>
      <vt:variant>
        <vt:i4>146</vt:i4>
      </vt:variant>
      <vt:variant>
        <vt:i4>0</vt:i4>
      </vt:variant>
      <vt:variant>
        <vt:i4>5</vt:i4>
      </vt:variant>
      <vt:variant>
        <vt:lpwstr/>
      </vt:variant>
      <vt:variant>
        <vt:lpwstr>_Toc284220726</vt:lpwstr>
      </vt:variant>
      <vt:variant>
        <vt:i4>2031667</vt:i4>
      </vt:variant>
      <vt:variant>
        <vt:i4>140</vt:i4>
      </vt:variant>
      <vt:variant>
        <vt:i4>0</vt:i4>
      </vt:variant>
      <vt:variant>
        <vt:i4>5</vt:i4>
      </vt:variant>
      <vt:variant>
        <vt:lpwstr/>
      </vt:variant>
      <vt:variant>
        <vt:lpwstr>_Toc284220725</vt:lpwstr>
      </vt:variant>
      <vt:variant>
        <vt:i4>2031667</vt:i4>
      </vt:variant>
      <vt:variant>
        <vt:i4>134</vt:i4>
      </vt:variant>
      <vt:variant>
        <vt:i4>0</vt:i4>
      </vt:variant>
      <vt:variant>
        <vt:i4>5</vt:i4>
      </vt:variant>
      <vt:variant>
        <vt:lpwstr/>
      </vt:variant>
      <vt:variant>
        <vt:lpwstr>_Toc284220724</vt:lpwstr>
      </vt:variant>
      <vt:variant>
        <vt:i4>2031667</vt:i4>
      </vt:variant>
      <vt:variant>
        <vt:i4>128</vt:i4>
      </vt:variant>
      <vt:variant>
        <vt:i4>0</vt:i4>
      </vt:variant>
      <vt:variant>
        <vt:i4>5</vt:i4>
      </vt:variant>
      <vt:variant>
        <vt:lpwstr/>
      </vt:variant>
      <vt:variant>
        <vt:lpwstr>_Toc284220723</vt:lpwstr>
      </vt:variant>
      <vt:variant>
        <vt:i4>2031667</vt:i4>
      </vt:variant>
      <vt:variant>
        <vt:i4>122</vt:i4>
      </vt:variant>
      <vt:variant>
        <vt:i4>0</vt:i4>
      </vt:variant>
      <vt:variant>
        <vt:i4>5</vt:i4>
      </vt:variant>
      <vt:variant>
        <vt:lpwstr/>
      </vt:variant>
      <vt:variant>
        <vt:lpwstr>_Toc284220722</vt:lpwstr>
      </vt:variant>
      <vt:variant>
        <vt:i4>2031667</vt:i4>
      </vt:variant>
      <vt:variant>
        <vt:i4>116</vt:i4>
      </vt:variant>
      <vt:variant>
        <vt:i4>0</vt:i4>
      </vt:variant>
      <vt:variant>
        <vt:i4>5</vt:i4>
      </vt:variant>
      <vt:variant>
        <vt:lpwstr/>
      </vt:variant>
      <vt:variant>
        <vt:lpwstr>_Toc284220721</vt:lpwstr>
      </vt:variant>
      <vt:variant>
        <vt:i4>2031667</vt:i4>
      </vt:variant>
      <vt:variant>
        <vt:i4>110</vt:i4>
      </vt:variant>
      <vt:variant>
        <vt:i4>0</vt:i4>
      </vt:variant>
      <vt:variant>
        <vt:i4>5</vt:i4>
      </vt:variant>
      <vt:variant>
        <vt:lpwstr/>
      </vt:variant>
      <vt:variant>
        <vt:lpwstr>_Toc284220720</vt:lpwstr>
      </vt:variant>
      <vt:variant>
        <vt:i4>1835059</vt:i4>
      </vt:variant>
      <vt:variant>
        <vt:i4>104</vt:i4>
      </vt:variant>
      <vt:variant>
        <vt:i4>0</vt:i4>
      </vt:variant>
      <vt:variant>
        <vt:i4>5</vt:i4>
      </vt:variant>
      <vt:variant>
        <vt:lpwstr/>
      </vt:variant>
      <vt:variant>
        <vt:lpwstr>_Toc284220719</vt:lpwstr>
      </vt:variant>
      <vt:variant>
        <vt:i4>1835059</vt:i4>
      </vt:variant>
      <vt:variant>
        <vt:i4>98</vt:i4>
      </vt:variant>
      <vt:variant>
        <vt:i4>0</vt:i4>
      </vt:variant>
      <vt:variant>
        <vt:i4>5</vt:i4>
      </vt:variant>
      <vt:variant>
        <vt:lpwstr/>
      </vt:variant>
      <vt:variant>
        <vt:lpwstr>_Toc284220718</vt:lpwstr>
      </vt:variant>
      <vt:variant>
        <vt:i4>1835059</vt:i4>
      </vt:variant>
      <vt:variant>
        <vt:i4>92</vt:i4>
      </vt:variant>
      <vt:variant>
        <vt:i4>0</vt:i4>
      </vt:variant>
      <vt:variant>
        <vt:i4>5</vt:i4>
      </vt:variant>
      <vt:variant>
        <vt:lpwstr/>
      </vt:variant>
      <vt:variant>
        <vt:lpwstr>_Toc284220717</vt:lpwstr>
      </vt:variant>
      <vt:variant>
        <vt:i4>1835059</vt:i4>
      </vt:variant>
      <vt:variant>
        <vt:i4>86</vt:i4>
      </vt:variant>
      <vt:variant>
        <vt:i4>0</vt:i4>
      </vt:variant>
      <vt:variant>
        <vt:i4>5</vt:i4>
      </vt:variant>
      <vt:variant>
        <vt:lpwstr/>
      </vt:variant>
      <vt:variant>
        <vt:lpwstr>_Toc284220716</vt:lpwstr>
      </vt:variant>
      <vt:variant>
        <vt:i4>1835059</vt:i4>
      </vt:variant>
      <vt:variant>
        <vt:i4>80</vt:i4>
      </vt:variant>
      <vt:variant>
        <vt:i4>0</vt:i4>
      </vt:variant>
      <vt:variant>
        <vt:i4>5</vt:i4>
      </vt:variant>
      <vt:variant>
        <vt:lpwstr/>
      </vt:variant>
      <vt:variant>
        <vt:lpwstr>_Toc284220715</vt:lpwstr>
      </vt:variant>
      <vt:variant>
        <vt:i4>1835059</vt:i4>
      </vt:variant>
      <vt:variant>
        <vt:i4>74</vt:i4>
      </vt:variant>
      <vt:variant>
        <vt:i4>0</vt:i4>
      </vt:variant>
      <vt:variant>
        <vt:i4>5</vt:i4>
      </vt:variant>
      <vt:variant>
        <vt:lpwstr/>
      </vt:variant>
      <vt:variant>
        <vt:lpwstr>_Toc284220714</vt:lpwstr>
      </vt:variant>
      <vt:variant>
        <vt:i4>1835059</vt:i4>
      </vt:variant>
      <vt:variant>
        <vt:i4>68</vt:i4>
      </vt:variant>
      <vt:variant>
        <vt:i4>0</vt:i4>
      </vt:variant>
      <vt:variant>
        <vt:i4>5</vt:i4>
      </vt:variant>
      <vt:variant>
        <vt:lpwstr/>
      </vt:variant>
      <vt:variant>
        <vt:lpwstr>_Toc284220713</vt:lpwstr>
      </vt:variant>
      <vt:variant>
        <vt:i4>1835059</vt:i4>
      </vt:variant>
      <vt:variant>
        <vt:i4>62</vt:i4>
      </vt:variant>
      <vt:variant>
        <vt:i4>0</vt:i4>
      </vt:variant>
      <vt:variant>
        <vt:i4>5</vt:i4>
      </vt:variant>
      <vt:variant>
        <vt:lpwstr/>
      </vt:variant>
      <vt:variant>
        <vt:lpwstr>_Toc284220712</vt:lpwstr>
      </vt:variant>
      <vt:variant>
        <vt:i4>1835059</vt:i4>
      </vt:variant>
      <vt:variant>
        <vt:i4>56</vt:i4>
      </vt:variant>
      <vt:variant>
        <vt:i4>0</vt:i4>
      </vt:variant>
      <vt:variant>
        <vt:i4>5</vt:i4>
      </vt:variant>
      <vt:variant>
        <vt:lpwstr/>
      </vt:variant>
      <vt:variant>
        <vt:lpwstr>_Toc284220711</vt:lpwstr>
      </vt:variant>
      <vt:variant>
        <vt:i4>1835059</vt:i4>
      </vt:variant>
      <vt:variant>
        <vt:i4>50</vt:i4>
      </vt:variant>
      <vt:variant>
        <vt:i4>0</vt:i4>
      </vt:variant>
      <vt:variant>
        <vt:i4>5</vt:i4>
      </vt:variant>
      <vt:variant>
        <vt:lpwstr/>
      </vt:variant>
      <vt:variant>
        <vt:lpwstr>_Toc284220710</vt:lpwstr>
      </vt:variant>
      <vt:variant>
        <vt:i4>1900595</vt:i4>
      </vt:variant>
      <vt:variant>
        <vt:i4>44</vt:i4>
      </vt:variant>
      <vt:variant>
        <vt:i4>0</vt:i4>
      </vt:variant>
      <vt:variant>
        <vt:i4>5</vt:i4>
      </vt:variant>
      <vt:variant>
        <vt:lpwstr/>
      </vt:variant>
      <vt:variant>
        <vt:lpwstr>_Toc284220709</vt:lpwstr>
      </vt:variant>
      <vt:variant>
        <vt:i4>1900595</vt:i4>
      </vt:variant>
      <vt:variant>
        <vt:i4>38</vt:i4>
      </vt:variant>
      <vt:variant>
        <vt:i4>0</vt:i4>
      </vt:variant>
      <vt:variant>
        <vt:i4>5</vt:i4>
      </vt:variant>
      <vt:variant>
        <vt:lpwstr/>
      </vt:variant>
      <vt:variant>
        <vt:lpwstr>_Toc284220708</vt:lpwstr>
      </vt:variant>
      <vt:variant>
        <vt:i4>1900595</vt:i4>
      </vt:variant>
      <vt:variant>
        <vt:i4>32</vt:i4>
      </vt:variant>
      <vt:variant>
        <vt:i4>0</vt:i4>
      </vt:variant>
      <vt:variant>
        <vt:i4>5</vt:i4>
      </vt:variant>
      <vt:variant>
        <vt:lpwstr/>
      </vt:variant>
      <vt:variant>
        <vt:lpwstr>_Toc284220707</vt:lpwstr>
      </vt:variant>
      <vt:variant>
        <vt:i4>1900595</vt:i4>
      </vt:variant>
      <vt:variant>
        <vt:i4>26</vt:i4>
      </vt:variant>
      <vt:variant>
        <vt:i4>0</vt:i4>
      </vt:variant>
      <vt:variant>
        <vt:i4>5</vt:i4>
      </vt:variant>
      <vt:variant>
        <vt:lpwstr/>
      </vt:variant>
      <vt:variant>
        <vt:lpwstr>_Toc284220706</vt:lpwstr>
      </vt:variant>
      <vt:variant>
        <vt:i4>1900595</vt:i4>
      </vt:variant>
      <vt:variant>
        <vt:i4>20</vt:i4>
      </vt:variant>
      <vt:variant>
        <vt:i4>0</vt:i4>
      </vt:variant>
      <vt:variant>
        <vt:i4>5</vt:i4>
      </vt:variant>
      <vt:variant>
        <vt:lpwstr/>
      </vt:variant>
      <vt:variant>
        <vt:lpwstr>_Toc284220705</vt:lpwstr>
      </vt:variant>
      <vt:variant>
        <vt:i4>1900595</vt:i4>
      </vt:variant>
      <vt:variant>
        <vt:i4>14</vt:i4>
      </vt:variant>
      <vt:variant>
        <vt:i4>0</vt:i4>
      </vt:variant>
      <vt:variant>
        <vt:i4>5</vt:i4>
      </vt:variant>
      <vt:variant>
        <vt:lpwstr/>
      </vt:variant>
      <vt:variant>
        <vt:lpwstr>_Toc284220704</vt:lpwstr>
      </vt:variant>
      <vt:variant>
        <vt:i4>1900595</vt:i4>
      </vt:variant>
      <vt:variant>
        <vt:i4>8</vt:i4>
      </vt:variant>
      <vt:variant>
        <vt:i4>0</vt:i4>
      </vt:variant>
      <vt:variant>
        <vt:i4>5</vt:i4>
      </vt:variant>
      <vt:variant>
        <vt:lpwstr/>
      </vt:variant>
      <vt:variant>
        <vt:lpwstr>_Toc284220703</vt:lpwstr>
      </vt:variant>
      <vt:variant>
        <vt:i4>1900595</vt:i4>
      </vt:variant>
      <vt:variant>
        <vt:i4>2</vt:i4>
      </vt:variant>
      <vt:variant>
        <vt:i4>0</vt:i4>
      </vt:variant>
      <vt:variant>
        <vt:i4>5</vt:i4>
      </vt:variant>
      <vt:variant>
        <vt:lpwstr/>
      </vt:variant>
      <vt:variant>
        <vt:lpwstr>_Toc284220702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sddasfdasf</dc:title>
  <dc:creator>hrubes</dc:creator>
  <cp:lastModifiedBy>pavel</cp:lastModifiedBy>
  <cp:revision>2</cp:revision>
  <cp:lastPrinted>2011-06-10T08:13:00Z</cp:lastPrinted>
  <dcterms:created xsi:type="dcterms:W3CDTF">2012-06-06T08:23:00Z</dcterms:created>
  <dcterms:modified xsi:type="dcterms:W3CDTF">2012-06-06T08:23:00Z</dcterms:modified>
</cp:coreProperties>
</file>